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 w:cs="Times New Roman"/>
          <w:b/>
          <w:sz w:val="30"/>
          <w:szCs w:val="30"/>
        </w:rPr>
      </w:pPr>
    </w:p>
    <w:tbl>
      <w:tblPr>
        <w:tblStyle w:val="16"/>
        <w:tblW w:w="9640" w:type="dxa"/>
        <w:tblInd w:w="-652" w:type="dxa"/>
        <w:tblLayout w:type="fixed"/>
        <w:tblCellMar>
          <w:top w:w="0" w:type="dxa"/>
          <w:left w:w="0" w:type="dxa"/>
          <w:bottom w:w="0" w:type="dxa"/>
          <w:right w:w="0" w:type="dxa"/>
        </w:tblCellMar>
      </w:tblPr>
      <w:tblGrid>
        <w:gridCol w:w="454"/>
        <w:gridCol w:w="283"/>
        <w:gridCol w:w="2042"/>
        <w:gridCol w:w="453"/>
        <w:gridCol w:w="1134"/>
        <w:gridCol w:w="5124"/>
        <w:gridCol w:w="150"/>
      </w:tblGrid>
      <w:tr>
        <w:tblPrEx>
          <w:tblCellMar>
            <w:top w:w="0" w:type="dxa"/>
            <w:left w:w="0" w:type="dxa"/>
            <w:bottom w:w="0" w:type="dxa"/>
            <w:right w:w="0" w:type="dxa"/>
          </w:tblCellMar>
        </w:tblPrEx>
        <w:trPr>
          <w:gridAfter w:val="4"/>
          <w:wAfter w:w="6861" w:type="dxa"/>
          <w:trHeight w:val="312" w:hRule="exact"/>
        </w:trPr>
        <w:tc>
          <w:tcPr>
            <w:tcW w:w="454" w:type="dxa"/>
            <w:vAlign w:val="center"/>
          </w:tcPr>
          <w:p>
            <w:pPr>
              <w:rPr>
                <w:rFonts w:eastAsia="黑体" w:cs="Times New Roman"/>
                <w:b/>
                <w:szCs w:val="20"/>
                <w:highlight w:val="yellow"/>
              </w:rPr>
            </w:pPr>
          </w:p>
        </w:tc>
        <w:tc>
          <w:tcPr>
            <w:tcW w:w="2325" w:type="dxa"/>
            <w:gridSpan w:val="2"/>
            <w:vAlign w:val="center"/>
          </w:tcPr>
          <w:p>
            <w:pPr>
              <w:rPr>
                <w:rFonts w:eastAsia="黑体" w:cs="Times New Roman"/>
                <w:szCs w:val="20"/>
                <w:highlight w:val="yellow"/>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eastAsia="黑体" w:cs="Times New Roman"/>
                <w:szCs w:val="20"/>
                <w:highlight w:val="yellow"/>
              </w:rPr>
            </w:pPr>
          </w:p>
        </w:tc>
        <w:tc>
          <w:tcPr>
            <w:tcW w:w="2042" w:type="dxa"/>
            <w:vAlign w:val="center"/>
          </w:tcPr>
          <w:p>
            <w:pPr>
              <w:rPr>
                <w:rFonts w:eastAsia="黑体" w:cs="Times New Roman"/>
                <w:szCs w:val="20"/>
                <w:highlight w:val="yellow"/>
              </w:rPr>
            </w:pPr>
            <w:r>
              <w:rPr>
                <w:rFonts w:eastAsia="黑体" w:cs="Times New Roman"/>
                <w:color w:val="558ED5" w:themeColor="text2" w:themeTint="99"/>
                <w:spacing w:val="10"/>
                <w:szCs w:val="20"/>
                <w14:textFill>
                  <w14:solidFill>
                    <w14:schemeClr w14:val="tx2">
                      <w14:lumMod w14:val="60000"/>
                      <w14:lumOff w14:val="40000"/>
                    </w14:schemeClr>
                  </w14:solidFill>
                </w14:textFill>
              </w:rPr>
              <w:drawing>
                <wp:anchor distT="0" distB="0" distL="114300" distR="114300" simplePos="0" relativeHeight="251661312" behindDoc="1" locked="0" layoutInCell="1" allowOverlap="1">
                  <wp:simplePos x="0" y="0"/>
                  <wp:positionH relativeFrom="column">
                    <wp:posOffset>4021455</wp:posOffset>
                  </wp:positionH>
                  <wp:positionV relativeFrom="paragraph">
                    <wp:posOffset>35560</wp:posOffset>
                  </wp:positionV>
                  <wp:extent cx="1231265" cy="1231265"/>
                  <wp:effectExtent l="0" t="0" r="698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1265" cy="1231265"/>
                          </a:xfrm>
                          <a:prstGeom prst="rect">
                            <a:avLst/>
                          </a:prstGeom>
                          <a:noFill/>
                          <a:ln>
                            <a:noFill/>
                          </a:ln>
                        </pic:spPr>
                      </pic:pic>
                    </a:graphicData>
                  </a:graphic>
                </wp:anchor>
              </w:drawing>
            </w:r>
          </w:p>
        </w:tc>
      </w:tr>
      <w:tr>
        <w:tblPrEx>
          <w:tblCellMar>
            <w:top w:w="0" w:type="dxa"/>
            <w:left w:w="0" w:type="dxa"/>
            <w:bottom w:w="0" w:type="dxa"/>
            <w:right w:w="0" w:type="dxa"/>
          </w:tblCellMar>
        </w:tblPrEx>
        <w:trPr>
          <w:gridAfter w:val="4"/>
          <w:wAfter w:w="6861" w:type="dxa"/>
          <w:trHeight w:val="90" w:hRule="exact"/>
        </w:trPr>
        <w:tc>
          <w:tcPr>
            <w:tcW w:w="737" w:type="dxa"/>
            <w:gridSpan w:val="2"/>
            <w:vAlign w:val="center"/>
          </w:tcPr>
          <w:p>
            <w:pPr>
              <w:ind w:right="-170"/>
              <w:rPr>
                <w:rFonts w:eastAsia="黑体" w:cs="Times New Roman"/>
                <w:b/>
                <w:szCs w:val="20"/>
                <w:highlight w:val="yellow"/>
              </w:rPr>
            </w:pPr>
          </w:p>
          <w:p>
            <w:pPr>
              <w:ind w:right="-170"/>
              <w:rPr>
                <w:rFonts w:eastAsia="黑体" w:cs="Times New Roman"/>
                <w:b/>
                <w:szCs w:val="20"/>
                <w:highlight w:val="yellow"/>
              </w:rPr>
            </w:pPr>
          </w:p>
          <w:p>
            <w:pPr>
              <w:ind w:right="-170"/>
              <w:rPr>
                <w:rFonts w:eastAsia="黑体" w:cs="Times New Roman"/>
                <w:b/>
                <w:szCs w:val="20"/>
                <w:highlight w:val="yellow"/>
              </w:rPr>
            </w:pPr>
          </w:p>
        </w:tc>
        <w:tc>
          <w:tcPr>
            <w:tcW w:w="2042" w:type="dxa"/>
            <w:vAlign w:val="center"/>
          </w:tcPr>
          <w:p>
            <w:pPr>
              <w:rPr>
                <w:rFonts w:eastAsia="黑体" w:cs="Times New Roman"/>
                <w:szCs w:val="20"/>
                <w:highlight w:val="yellow"/>
              </w:rPr>
            </w:pPr>
          </w:p>
        </w:tc>
      </w:tr>
      <w:tr>
        <w:tblPrEx>
          <w:tblCellMar>
            <w:top w:w="0" w:type="dxa"/>
            <w:left w:w="0" w:type="dxa"/>
            <w:bottom w:w="0" w:type="dxa"/>
            <w:right w:w="0" w:type="dxa"/>
          </w:tblCellMar>
        </w:tblPrEx>
        <w:trPr>
          <w:trHeight w:val="368" w:hRule="exact"/>
        </w:trPr>
        <w:tc>
          <w:tcPr>
            <w:tcW w:w="9640" w:type="dxa"/>
            <w:gridSpan w:val="7"/>
          </w:tcPr>
          <w:p>
            <w:pPr>
              <w:rPr>
                <w:rFonts w:eastAsia="宋体" w:cs="Times New Roman"/>
                <w:szCs w:val="20"/>
              </w:rPr>
            </w:pPr>
          </w:p>
        </w:tc>
      </w:tr>
      <w:tr>
        <w:tblPrEx>
          <w:tblCellMar>
            <w:top w:w="0" w:type="dxa"/>
            <w:left w:w="0" w:type="dxa"/>
            <w:bottom w:w="0" w:type="dxa"/>
            <w:right w:w="0" w:type="dxa"/>
          </w:tblCellMar>
        </w:tblPrEx>
        <w:trPr>
          <w:trHeight w:val="120" w:hRule="exact"/>
        </w:trPr>
        <w:tc>
          <w:tcPr>
            <w:tcW w:w="9640" w:type="dxa"/>
            <w:gridSpan w:val="7"/>
          </w:tcPr>
          <w:p>
            <w:pPr>
              <w:rPr>
                <w:rFonts w:eastAsia="宋体" w:cs="Times New Roman"/>
                <w:szCs w:val="20"/>
              </w:rPr>
            </w:pPr>
          </w:p>
        </w:tc>
      </w:tr>
      <w:tr>
        <w:tblPrEx>
          <w:tblCellMar>
            <w:top w:w="0" w:type="dxa"/>
            <w:left w:w="0" w:type="dxa"/>
            <w:bottom w:w="0" w:type="dxa"/>
            <w:right w:w="0" w:type="dxa"/>
          </w:tblCellMar>
        </w:tblPrEx>
        <w:trPr>
          <w:trHeight w:val="518" w:hRule="exact"/>
        </w:trPr>
        <w:tc>
          <w:tcPr>
            <w:tcW w:w="9640" w:type="dxa"/>
            <w:gridSpan w:val="7"/>
          </w:tcPr>
          <w:p>
            <w:pPr>
              <w:rPr>
                <w:rFonts w:eastAsia="宋体" w:cs="Times New Roman"/>
                <w:szCs w:val="20"/>
              </w:rPr>
            </w:pPr>
          </w:p>
        </w:tc>
      </w:tr>
      <w:tr>
        <w:tblPrEx>
          <w:tblCellMar>
            <w:top w:w="0" w:type="dxa"/>
            <w:left w:w="0" w:type="dxa"/>
            <w:bottom w:w="0" w:type="dxa"/>
            <w:right w:w="0" w:type="dxa"/>
          </w:tblCellMar>
        </w:tblPrEx>
        <w:trPr>
          <w:trHeight w:val="872" w:hRule="exact"/>
        </w:trPr>
        <w:tc>
          <w:tcPr>
            <w:tcW w:w="9640" w:type="dxa"/>
            <w:gridSpan w:val="7"/>
            <w:vAlign w:val="center"/>
          </w:tcPr>
          <w:p>
            <w:pPr>
              <w:spacing w:line="560" w:lineRule="exact"/>
              <w:ind w:right="28" w:firstLine="3166" w:firstLineChars="435"/>
              <w:rPr>
                <w:rFonts w:eastAsia="黑体" w:cs="Times New Roman"/>
                <w:w w:val="140"/>
                <w:sz w:val="52"/>
                <w:szCs w:val="20"/>
              </w:rPr>
            </w:pPr>
            <w:r>
              <w:rPr>
                <w:w w:val="140"/>
                <w:sz w:val="52"/>
              </w:rPr>
              <w:t>团体标准</w:t>
            </w:r>
          </w:p>
          <w:p>
            <w:pPr>
              <w:spacing w:line="520" w:lineRule="exact"/>
              <w:rPr>
                <w:rFonts w:eastAsia="宋体" w:cs="Times New Roman"/>
                <w:w w:val="140"/>
                <w:sz w:val="52"/>
                <w:szCs w:val="20"/>
              </w:rPr>
            </w:pPr>
          </w:p>
        </w:tc>
      </w:tr>
      <w:tr>
        <w:tblPrEx>
          <w:tblCellMar>
            <w:top w:w="0" w:type="dxa"/>
            <w:left w:w="0" w:type="dxa"/>
            <w:bottom w:w="0" w:type="dxa"/>
            <w:right w:w="0" w:type="dxa"/>
          </w:tblCellMar>
        </w:tblPrEx>
        <w:trPr>
          <w:trHeight w:val="340" w:hRule="exact"/>
        </w:trPr>
        <w:tc>
          <w:tcPr>
            <w:tcW w:w="9640" w:type="dxa"/>
            <w:gridSpan w:val="7"/>
          </w:tcPr>
          <w:p>
            <w:pPr>
              <w:jc w:val="center"/>
              <w:rPr>
                <w:rFonts w:eastAsia="黑体" w:cs="Times New Roman"/>
                <w:b/>
                <w:sz w:val="52"/>
                <w:szCs w:val="20"/>
              </w:rPr>
            </w:pPr>
          </w:p>
        </w:tc>
      </w:tr>
      <w:tr>
        <w:tblPrEx>
          <w:tblCellMar>
            <w:top w:w="0" w:type="dxa"/>
            <w:left w:w="0" w:type="dxa"/>
            <w:bottom w:w="0" w:type="dxa"/>
            <w:right w:w="0" w:type="dxa"/>
          </w:tblCellMar>
        </w:tblPrEx>
        <w:trPr>
          <w:cantSplit/>
          <w:trHeight w:val="60" w:hRule="exact"/>
        </w:trPr>
        <w:tc>
          <w:tcPr>
            <w:tcW w:w="3232" w:type="dxa"/>
            <w:gridSpan w:val="4"/>
            <w:vAlign w:val="center"/>
          </w:tcPr>
          <w:p>
            <w:pPr>
              <w:rPr>
                <w:rFonts w:eastAsia="宋体" w:cs="Times New Roman"/>
                <w:szCs w:val="20"/>
              </w:rPr>
            </w:pPr>
          </w:p>
        </w:tc>
        <w:tc>
          <w:tcPr>
            <w:tcW w:w="1134" w:type="dxa"/>
            <w:vAlign w:val="center"/>
          </w:tcPr>
          <w:p>
            <w:pPr>
              <w:jc w:val="right"/>
              <w:rPr>
                <w:rFonts w:eastAsia="宋体" w:cs="Times New Roman"/>
                <w:szCs w:val="20"/>
              </w:rPr>
            </w:pPr>
          </w:p>
        </w:tc>
        <w:tc>
          <w:tcPr>
            <w:tcW w:w="5124" w:type="dxa"/>
            <w:vAlign w:val="center"/>
          </w:tcPr>
          <w:p>
            <w:pPr>
              <w:jc w:val="right"/>
              <w:rPr>
                <w:rFonts w:eastAsia="宋体" w:cs="Times New Roman"/>
                <w:szCs w:val="20"/>
              </w:rPr>
            </w:pPr>
          </w:p>
        </w:tc>
        <w:tc>
          <w:tcPr>
            <w:tcW w:w="150" w:type="dxa"/>
            <w:vAlign w:val="center"/>
          </w:tcPr>
          <w:p>
            <w:pPr>
              <w:rPr>
                <w:rFonts w:eastAsia="宋体" w:cs="Times New Roman"/>
                <w:szCs w:val="20"/>
              </w:rPr>
            </w:pPr>
          </w:p>
        </w:tc>
      </w:tr>
      <w:tr>
        <w:tblPrEx>
          <w:tblCellMar>
            <w:top w:w="0" w:type="dxa"/>
            <w:left w:w="0" w:type="dxa"/>
            <w:bottom w:w="0" w:type="dxa"/>
            <w:right w:w="0" w:type="dxa"/>
          </w:tblCellMar>
        </w:tblPrEx>
        <w:trPr>
          <w:cantSplit/>
          <w:trHeight w:val="360" w:hRule="exact"/>
        </w:trPr>
        <w:tc>
          <w:tcPr>
            <w:tcW w:w="3232" w:type="dxa"/>
            <w:gridSpan w:val="4"/>
            <w:vAlign w:val="center"/>
          </w:tcPr>
          <w:p>
            <w:pPr>
              <w:rPr>
                <w:rFonts w:eastAsia="宋体" w:cs="Times New Roman"/>
                <w:szCs w:val="20"/>
              </w:rPr>
            </w:pPr>
          </w:p>
        </w:tc>
        <w:tc>
          <w:tcPr>
            <w:tcW w:w="1134" w:type="dxa"/>
            <w:vAlign w:val="center"/>
          </w:tcPr>
          <w:p>
            <w:pPr>
              <w:jc w:val="right"/>
              <w:rPr>
                <w:rFonts w:eastAsia="宋体" w:cs="Times New Roman"/>
                <w:szCs w:val="20"/>
              </w:rPr>
            </w:pPr>
          </w:p>
        </w:tc>
        <w:tc>
          <w:tcPr>
            <w:tcW w:w="5124" w:type="dxa"/>
            <w:vAlign w:val="center"/>
          </w:tcPr>
          <w:p>
            <w:pPr>
              <w:spacing w:line="360" w:lineRule="exact"/>
              <w:jc w:val="right"/>
              <w:rPr>
                <w:rFonts w:eastAsia="黑体" w:cs="Times New Roman"/>
                <w:szCs w:val="20"/>
                <w:highlight w:val="yellow"/>
              </w:rPr>
            </w:pPr>
          </w:p>
        </w:tc>
        <w:tc>
          <w:tcPr>
            <w:tcW w:w="150" w:type="dxa"/>
            <w:vAlign w:val="center"/>
          </w:tcPr>
          <w:p>
            <w:pPr>
              <w:rPr>
                <w:rFonts w:eastAsia="宋体" w:cs="Times New Roman"/>
                <w:szCs w:val="20"/>
                <w:highlight w:val="yellow"/>
              </w:rPr>
            </w:pPr>
          </w:p>
        </w:tc>
      </w:tr>
      <w:tr>
        <w:tblPrEx>
          <w:tblCellMar>
            <w:top w:w="0" w:type="dxa"/>
            <w:left w:w="0" w:type="dxa"/>
            <w:bottom w:w="0" w:type="dxa"/>
            <w:right w:w="0" w:type="dxa"/>
          </w:tblCellMar>
        </w:tblPrEx>
        <w:trPr>
          <w:cantSplit/>
          <w:trHeight w:val="148" w:hRule="exact"/>
        </w:trPr>
        <w:tc>
          <w:tcPr>
            <w:tcW w:w="3232" w:type="dxa"/>
            <w:gridSpan w:val="4"/>
            <w:vAlign w:val="center"/>
          </w:tcPr>
          <w:p>
            <w:pPr>
              <w:rPr>
                <w:rFonts w:eastAsia="宋体" w:cs="Times New Roman"/>
                <w:szCs w:val="20"/>
              </w:rPr>
            </w:pPr>
          </w:p>
        </w:tc>
        <w:tc>
          <w:tcPr>
            <w:tcW w:w="1134" w:type="dxa"/>
            <w:vAlign w:val="center"/>
          </w:tcPr>
          <w:p>
            <w:pPr>
              <w:jc w:val="right"/>
              <w:rPr>
                <w:rFonts w:eastAsia="宋体" w:cs="Times New Roman"/>
                <w:szCs w:val="20"/>
              </w:rPr>
            </w:pPr>
          </w:p>
        </w:tc>
        <w:tc>
          <w:tcPr>
            <w:tcW w:w="5124" w:type="dxa"/>
            <w:vAlign w:val="center"/>
          </w:tcPr>
          <w:p>
            <w:pPr>
              <w:jc w:val="right"/>
              <w:rPr>
                <w:rFonts w:eastAsia="宋体" w:cs="Times New Roman"/>
                <w:szCs w:val="20"/>
              </w:rPr>
            </w:pPr>
          </w:p>
        </w:tc>
        <w:tc>
          <w:tcPr>
            <w:tcW w:w="150" w:type="dxa"/>
            <w:vAlign w:val="center"/>
          </w:tcPr>
          <w:p>
            <w:pPr>
              <w:rPr>
                <w:rFonts w:eastAsia="宋体" w:cs="Times New Roman"/>
                <w:szCs w:val="20"/>
              </w:rPr>
            </w:pPr>
          </w:p>
        </w:tc>
      </w:tr>
      <w:tr>
        <w:tblPrEx>
          <w:tblCellMar>
            <w:top w:w="0" w:type="dxa"/>
            <w:left w:w="0" w:type="dxa"/>
            <w:bottom w:w="0" w:type="dxa"/>
            <w:right w:w="0" w:type="dxa"/>
          </w:tblCellMar>
        </w:tblPrEx>
        <w:trPr>
          <w:trHeight w:val="340" w:hRule="exact"/>
        </w:trPr>
        <w:tc>
          <w:tcPr>
            <w:tcW w:w="9640" w:type="dxa"/>
            <w:gridSpan w:val="7"/>
            <w:tcBorders>
              <w:bottom w:val="single" w:color="auto" w:sz="8" w:space="0"/>
            </w:tcBorders>
          </w:tcPr>
          <w:p>
            <w:pPr>
              <w:jc w:val="center"/>
              <w:rPr>
                <w:rFonts w:eastAsia="黑体" w:cs="Times New Roman"/>
                <w:b/>
                <w:sz w:val="52"/>
                <w:szCs w:val="20"/>
              </w:rPr>
            </w:pPr>
          </w:p>
        </w:tc>
      </w:tr>
      <w:tr>
        <w:tblPrEx>
          <w:tblCellMar>
            <w:top w:w="0" w:type="dxa"/>
            <w:left w:w="0" w:type="dxa"/>
            <w:bottom w:w="0" w:type="dxa"/>
            <w:right w:w="0" w:type="dxa"/>
          </w:tblCellMar>
        </w:tblPrEx>
        <w:trPr>
          <w:trHeight w:val="1938" w:hRule="exact"/>
        </w:trPr>
        <w:tc>
          <w:tcPr>
            <w:tcW w:w="9640" w:type="dxa"/>
            <w:gridSpan w:val="7"/>
            <w:tcBorders>
              <w:top w:val="single" w:color="auto" w:sz="8" w:space="0"/>
            </w:tcBorders>
            <w:vAlign w:val="center"/>
          </w:tcPr>
          <w:p>
            <w:pPr>
              <w:rPr>
                <w:rFonts w:eastAsia="黑体" w:cs="Times New Roman"/>
                <w:sz w:val="52"/>
                <w:szCs w:val="20"/>
              </w:rPr>
            </w:pPr>
          </w:p>
        </w:tc>
      </w:tr>
      <w:tr>
        <w:tblPrEx>
          <w:tblCellMar>
            <w:top w:w="0" w:type="dxa"/>
            <w:left w:w="0" w:type="dxa"/>
            <w:bottom w:w="0" w:type="dxa"/>
            <w:right w:w="0" w:type="dxa"/>
          </w:tblCellMar>
        </w:tblPrEx>
        <w:trPr>
          <w:trHeight w:val="834" w:hRule="exact"/>
        </w:trPr>
        <w:tc>
          <w:tcPr>
            <w:tcW w:w="9640" w:type="dxa"/>
            <w:gridSpan w:val="7"/>
            <w:vAlign w:val="center"/>
          </w:tcPr>
          <w:p>
            <w:pPr>
              <w:spacing w:line="640" w:lineRule="exact"/>
              <w:ind w:firstLine="2080" w:firstLineChars="400"/>
              <w:rPr>
                <w:rFonts w:eastAsia="宋体"/>
                <w:kern w:val="0"/>
                <w:sz w:val="52"/>
              </w:rPr>
            </w:pPr>
            <w:r>
              <w:rPr>
                <w:rFonts w:eastAsia="宋体"/>
                <w:kern w:val="0"/>
                <w:sz w:val="52"/>
              </w:rPr>
              <w:t>住院电子药历构建规范</w:t>
            </w:r>
          </w:p>
          <w:p>
            <w:pPr>
              <w:ind w:left="-105" w:leftChars="-50"/>
              <w:jc w:val="center"/>
              <w:rPr>
                <w:rFonts w:eastAsia="黑体" w:cs="Times New Roman"/>
                <w:sz w:val="52"/>
                <w:szCs w:val="52"/>
              </w:rPr>
            </w:pPr>
          </w:p>
          <w:p>
            <w:pPr>
              <w:spacing w:line="680" w:lineRule="exact"/>
              <w:jc w:val="center"/>
              <w:textAlignment w:val="center"/>
              <w:rPr>
                <w:rFonts w:eastAsia="黑体" w:cs="Times New Roman"/>
                <w:kern w:val="0"/>
                <w:sz w:val="52"/>
                <w:szCs w:val="20"/>
              </w:rPr>
            </w:pPr>
          </w:p>
          <w:p>
            <w:pPr>
              <w:spacing w:line="640" w:lineRule="exact"/>
              <w:jc w:val="center"/>
              <w:rPr>
                <w:rFonts w:eastAsia="黑体" w:cs="Times New Roman"/>
                <w:spacing w:val="-6"/>
                <w:sz w:val="52"/>
                <w:szCs w:val="52"/>
              </w:rPr>
            </w:pPr>
          </w:p>
        </w:tc>
      </w:tr>
      <w:tr>
        <w:tblPrEx>
          <w:tblCellMar>
            <w:top w:w="0" w:type="dxa"/>
            <w:left w:w="0" w:type="dxa"/>
            <w:bottom w:w="0" w:type="dxa"/>
            <w:right w:w="0" w:type="dxa"/>
          </w:tblCellMar>
        </w:tblPrEx>
        <w:trPr>
          <w:trHeight w:val="1122" w:hRule="exact"/>
        </w:trPr>
        <w:tc>
          <w:tcPr>
            <w:tcW w:w="9640" w:type="dxa"/>
            <w:gridSpan w:val="7"/>
            <w:vAlign w:val="center"/>
          </w:tcPr>
          <w:p>
            <w:pPr>
              <w:spacing w:line="0" w:lineRule="atLeast"/>
              <w:jc w:val="center"/>
              <w:rPr>
                <w:rFonts w:eastAsia="黑体" w:cs="Times New Roman"/>
                <w:color w:val="000000"/>
                <w:sz w:val="28"/>
                <w:szCs w:val="28"/>
              </w:rPr>
            </w:pPr>
            <w:r>
              <w:rPr>
                <w:rFonts w:eastAsia="黑体" w:cs="Times New Roman"/>
                <w:color w:val="000000"/>
                <w:sz w:val="28"/>
                <w:szCs w:val="28"/>
              </w:rPr>
              <w:t>Basic specification for electronic inpatient</w:t>
            </w:r>
            <w:r>
              <w:rPr>
                <w:rFonts w:hint="eastAsia" w:eastAsia="黑体" w:cs="Times New Roman"/>
                <w:color w:val="000000"/>
                <w:sz w:val="28"/>
                <w:szCs w:val="28"/>
              </w:rPr>
              <w:t xml:space="preserve"> </w:t>
            </w:r>
            <w:r>
              <w:rPr>
                <w:rFonts w:eastAsia="黑体" w:cs="Times New Roman"/>
                <w:color w:val="000000"/>
                <w:sz w:val="28"/>
                <w:szCs w:val="28"/>
              </w:rPr>
              <w:t>pharmaceutical record</w:t>
            </w:r>
          </w:p>
          <w:p>
            <w:pPr>
              <w:spacing w:line="0" w:lineRule="atLeast"/>
              <w:jc w:val="center"/>
              <w:rPr>
                <w:rFonts w:hint="eastAsia" w:eastAsia="黑体" w:cs="Times New Roman"/>
                <w:color w:val="000000"/>
                <w:sz w:val="28"/>
                <w:szCs w:val="28"/>
                <w:lang w:eastAsia="zh-CN"/>
              </w:rPr>
            </w:pPr>
          </w:p>
          <w:p>
            <w:pPr>
              <w:spacing w:line="0" w:lineRule="atLeast"/>
              <w:jc w:val="center"/>
              <w:rPr>
                <w:rFonts w:hint="eastAsia" w:eastAsia="黑体" w:cs="Times New Roman"/>
                <w:color w:val="000000"/>
                <w:sz w:val="40"/>
                <w:szCs w:val="40"/>
                <w:lang w:eastAsia="zh-CN"/>
              </w:rPr>
            </w:pPr>
            <w:r>
              <w:rPr>
                <w:rFonts w:hint="eastAsia" w:eastAsia="黑体" w:cs="Times New Roman"/>
                <w:color w:val="000000"/>
                <w:sz w:val="40"/>
                <w:szCs w:val="40"/>
                <w:lang w:eastAsia="zh-CN"/>
              </w:rPr>
              <w:t>（</w:t>
            </w:r>
            <w:r>
              <w:rPr>
                <w:rFonts w:hint="eastAsia" w:eastAsia="黑体" w:cs="Times New Roman"/>
                <w:color w:val="000000"/>
                <w:sz w:val="40"/>
                <w:szCs w:val="40"/>
                <w:lang w:val="en-US" w:eastAsia="zh-CN"/>
              </w:rPr>
              <w:t>征求意见稿</w:t>
            </w:r>
            <w:r>
              <w:rPr>
                <w:rFonts w:hint="eastAsia" w:eastAsia="黑体" w:cs="Times New Roman"/>
                <w:color w:val="000000"/>
                <w:sz w:val="40"/>
                <w:szCs w:val="40"/>
                <w:lang w:eastAsia="zh-CN"/>
              </w:rPr>
              <w:t>）</w:t>
            </w:r>
          </w:p>
          <w:p>
            <w:pPr>
              <w:spacing w:line="0" w:lineRule="atLeast"/>
              <w:jc w:val="center"/>
              <w:rPr>
                <w:rFonts w:cs="Times New Roman"/>
                <w:color w:val="000000"/>
                <w:sz w:val="28"/>
                <w:szCs w:val="28"/>
              </w:rPr>
            </w:pPr>
          </w:p>
        </w:tc>
      </w:tr>
      <w:tr>
        <w:tblPrEx>
          <w:tblCellMar>
            <w:top w:w="0" w:type="dxa"/>
            <w:left w:w="0" w:type="dxa"/>
            <w:bottom w:w="0" w:type="dxa"/>
            <w:right w:w="0" w:type="dxa"/>
          </w:tblCellMar>
        </w:tblPrEx>
        <w:trPr>
          <w:trHeight w:val="454" w:hRule="exact"/>
        </w:trPr>
        <w:tc>
          <w:tcPr>
            <w:tcW w:w="9640" w:type="dxa"/>
            <w:gridSpan w:val="7"/>
            <w:vAlign w:val="center"/>
          </w:tcPr>
          <w:p>
            <w:pPr>
              <w:spacing w:line="360" w:lineRule="exact"/>
              <w:jc w:val="center"/>
              <w:rPr>
                <w:rFonts w:eastAsia="宋体" w:cs="Times New Roman"/>
                <w:b/>
                <w:sz w:val="28"/>
                <w:szCs w:val="28"/>
              </w:rPr>
            </w:pPr>
          </w:p>
        </w:tc>
      </w:tr>
    </w:tbl>
    <w:p>
      <w:pPr>
        <w:rPr>
          <w:rFonts w:eastAsia="宋体" w:cs="Times New Roman"/>
          <w:szCs w:val="20"/>
        </w:rPr>
      </w:pPr>
    </w:p>
    <w:p>
      <w:pPr>
        <w:rPr>
          <w:rFonts w:eastAsia="宋体" w:cs="Times New Roman"/>
          <w:szCs w:val="20"/>
        </w:rPr>
      </w:pPr>
    </w:p>
    <w:p>
      <w:pPr>
        <w:rPr>
          <w:rFonts w:eastAsia="宋体" w:cs="Times New Roman"/>
          <w:szCs w:val="20"/>
        </w:rPr>
      </w:pPr>
    </w:p>
    <w:p>
      <w:pPr>
        <w:rPr>
          <w:rFonts w:eastAsia="仿宋" w:cs="Times New Roman"/>
          <w:sz w:val="30"/>
          <w:szCs w:val="30"/>
        </w:rPr>
      </w:pPr>
    </w:p>
    <w:p>
      <w:pPr>
        <w:rPr>
          <w:rFonts w:eastAsia="仿宋" w:cs="Times New Roman"/>
          <w:sz w:val="30"/>
          <w:szCs w:val="30"/>
        </w:rPr>
      </w:pPr>
      <w:bookmarkStart w:id="83" w:name="_GoBack"/>
      <w:bookmarkEnd w:id="83"/>
    </w:p>
    <w:p>
      <w:pPr>
        <w:rPr>
          <w:rFonts w:eastAsia="仿宋" w:cs="Times New Roman"/>
          <w:sz w:val="30"/>
          <w:szCs w:val="30"/>
        </w:rPr>
      </w:pPr>
    </w:p>
    <w:p>
      <w:pPr>
        <w:rPr>
          <w:rFonts w:eastAsia="仿宋" w:cs="Times New Roman"/>
          <w:sz w:val="30"/>
          <w:szCs w:val="30"/>
        </w:rPr>
      </w:pPr>
    </w:p>
    <w:p>
      <w:pPr>
        <w:rPr>
          <w:rFonts w:eastAsia="仿宋" w:cs="Times New Roman"/>
          <w:sz w:val="30"/>
          <w:szCs w:val="30"/>
        </w:rPr>
      </w:pPr>
      <w:r>
        <w:rPr>
          <w:rFonts w:eastAsia="宋体" w:cs="Times New Roman"/>
          <w:sz w:val="20"/>
          <w:szCs w:val="20"/>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ge">
                  <wp:posOffset>8317230</wp:posOffset>
                </wp:positionV>
                <wp:extent cx="6120130" cy="1513205"/>
                <wp:effectExtent l="0" t="0" r="13970" b="10795"/>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ffectLst/>
                      </wps:spPr>
                      <wps:txbx>
                        <w:txbxContent>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2"/>
                              <w:gridCol w:w="3175"/>
                              <w:gridCol w:w="3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jc w:val="center"/>
                              </w:trPr>
                              <w:tc>
                                <w:tcPr>
                                  <w:tcW w:w="9639" w:type="dxa"/>
                                  <w:gridSpan w:val="3"/>
                                  <w:tcBorders>
                                    <w:tl2br w:val="nil"/>
                                    <w:tr2bl w:val="nil"/>
                                  </w:tcBorders>
                                  <w:shd w:val="clear" w:color="auto" w:fill="auto"/>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9639" w:type="dxa"/>
                                  <w:gridSpan w:val="3"/>
                                  <w:tcBorders>
                                    <w:tl2br w:val="nil"/>
                                    <w:tr2bl w:val="nil"/>
                                  </w:tcBorders>
                                  <w:shd w:val="clear" w:color="auto" w:fill="auto"/>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3232" w:type="dxa"/>
                                  <w:tcBorders>
                                    <w:tl2br w:val="nil"/>
                                    <w:tr2bl w:val="nil"/>
                                  </w:tcBorders>
                                  <w:shd w:val="clear" w:color="auto" w:fill="auto"/>
                                  <w:vAlign w:val="bottom"/>
                                </w:tcPr>
                                <w:p>
                                  <w:pPr>
                                    <w:rPr>
                                      <w:rFonts w:eastAsia="黑体" w:cstheme="minorHAnsi"/>
                                    </w:rPr>
                                  </w:pPr>
                                  <w:r>
                                    <w:rPr>
                                      <w:rFonts w:eastAsia="黑体" w:cstheme="minorHAnsi"/>
                                      <w:spacing w:val="10"/>
                                      <w:sz w:val="28"/>
                                      <w:szCs w:val="28"/>
                                    </w:rPr>
                                    <w:t>202</w:t>
                                  </w:r>
                                  <w:r>
                                    <w:rPr>
                                      <w:rFonts w:hint="eastAsia" w:eastAsia="黑体" w:cstheme="minorHAnsi"/>
                                      <w:spacing w:val="10"/>
                                      <w:sz w:val="28"/>
                                      <w:szCs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发布</w:t>
                                  </w:r>
                                </w:p>
                              </w:tc>
                              <w:tc>
                                <w:tcPr>
                                  <w:tcW w:w="3175" w:type="dxa"/>
                                  <w:tcBorders>
                                    <w:tl2br w:val="nil"/>
                                    <w:tr2bl w:val="nil"/>
                                  </w:tcBorders>
                                  <w:shd w:val="clear" w:color="auto" w:fill="auto"/>
                                  <w:vAlign w:val="bottom"/>
                                </w:tcPr>
                                <w:p>
                                  <w:pPr>
                                    <w:jc w:val="center"/>
                                    <w:rPr>
                                      <w:rFonts w:eastAsia="黑体" w:cstheme="minorHAnsi"/>
                                      <w:sz w:val="28"/>
                                    </w:rPr>
                                  </w:pPr>
                                </w:p>
                              </w:tc>
                              <w:tc>
                                <w:tcPr>
                                  <w:tcW w:w="3232" w:type="dxa"/>
                                  <w:tcBorders>
                                    <w:tl2br w:val="nil"/>
                                    <w:tr2bl w:val="nil"/>
                                  </w:tcBorders>
                                  <w:shd w:val="clear" w:color="auto" w:fill="auto"/>
                                  <w:vAlign w:val="bottom"/>
                                </w:tcPr>
                                <w:p>
                                  <w:pPr>
                                    <w:jc w:val="right"/>
                                    <w:rPr>
                                      <w:rFonts w:eastAsia="黑体" w:cstheme="minorHAnsi"/>
                                    </w:rPr>
                                  </w:pPr>
                                  <w:r>
                                    <w:rPr>
                                      <w:rFonts w:eastAsia="黑体" w:cstheme="minorHAnsi"/>
                                      <w:spacing w:val="10"/>
                                      <w:sz w:val="28"/>
                                      <w:szCs w:val="28"/>
                                    </w:rPr>
                                    <w:t>202</w:t>
                                  </w:r>
                                  <w:r>
                                    <w:rPr>
                                      <w:rFonts w:hint="eastAsia" w:eastAsia="黑体" w:cstheme="minorHAnsi"/>
                                      <w:spacing w:val="10"/>
                                      <w:sz w:val="28"/>
                                      <w:szCs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9639" w:type="dxa"/>
                                  <w:gridSpan w:val="3"/>
                                  <w:tcBorders>
                                    <w:tl2br w:val="nil"/>
                                    <w:tr2bl w:val="nil"/>
                                  </w:tcBorders>
                                  <w:shd w:val="clear" w:color="auto" w:fill="auto"/>
                                  <w:vAlign w:val="center"/>
                                </w:tcPr>
                                <w:p>
                                  <w:pPr>
                                    <w:jc w:val="center"/>
                                    <w:rPr>
                                      <w:rFonts w:eastAsia="黑体"/>
                                      <w:spacing w:val="3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exact"/>
                                <w:jc w:val="center"/>
                              </w:trPr>
                              <w:tc>
                                <w:tcPr>
                                  <w:tcW w:w="9639" w:type="dxa"/>
                                  <w:gridSpan w:val="3"/>
                                  <w:tcBorders>
                                    <w:tl2br w:val="nil"/>
                                    <w:tr2bl w:val="nil"/>
                                  </w:tcBorders>
                                  <w:shd w:val="clear" w:color="auto" w:fill="auto"/>
                                </w:tcPr>
                                <w:p>
                                  <w:pPr>
                                    <w:spacing w:line="360" w:lineRule="exact"/>
                                    <w:ind w:firstLine="3608" w:firstLineChars="1100"/>
                                    <w:rPr>
                                      <w:sz w:val="30"/>
                                      <w:szCs w:val="30"/>
                                    </w:rPr>
                                  </w:pPr>
                                  <w:r>
                                    <w:rPr>
                                      <w:rFonts w:hint="eastAsia" w:eastAsia="黑体"/>
                                      <w:spacing w:val="4"/>
                                      <w:sz w:val="32"/>
                                    </w:rPr>
                                    <w:t xml:space="preserve">河南省药学会  </w:t>
                                  </w:r>
                                  <w:r>
                                    <w:rPr>
                                      <w:rFonts w:hint="eastAsia" w:eastAsia="黑体"/>
                                      <w:spacing w:val="40"/>
                                      <w:sz w:val="28"/>
                                      <w:szCs w:val="28"/>
                                    </w:rPr>
                                    <w:t>发布</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pt;margin-top:654.9pt;height:119.15pt;width:481.9pt;mso-position-vertical-relative:page;z-index:251660288;mso-width-relative:page;mso-height-relative:page;" fillcolor="#FFFFFF" filled="t" stroked="f" coordsize="21600,21600" o:allowincell="f" o:gfxdata="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x0TsfbAAAADQEAAA8AAAAAAAAAAQAgAAAAIgAAAGRycy9kb3ducmV2LnhtbFBLAQIUABQA&#10;AAAIAIdO4kAKHjVEJgIAAD8EAAAOAAAAAAAAAAEAIAAAACoBAABkcnMvZTJvRG9jLnhtbFBLBQYA&#10;AAAABgAGAFkBAADCBQAAAAA=&#10;">
                <v:fill on="t" focussize="0,0"/>
                <v:stroke on="f"/>
                <v:imagedata o:title=""/>
                <o:lock v:ext="edit" aspectratio="f"/>
                <v:textbox inset="0mm,0mm,0mm,0mm">
                  <w:txbxContent>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32"/>
                        <w:gridCol w:w="3175"/>
                        <w:gridCol w:w="3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exact"/>
                          <w:jc w:val="center"/>
                        </w:trPr>
                        <w:tc>
                          <w:tcPr>
                            <w:tcW w:w="9639" w:type="dxa"/>
                            <w:gridSpan w:val="3"/>
                            <w:tcBorders>
                              <w:tl2br w:val="nil"/>
                              <w:tr2bl w:val="nil"/>
                            </w:tcBorders>
                            <w:shd w:val="clear" w:color="auto" w:fill="auto"/>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9639" w:type="dxa"/>
                            <w:gridSpan w:val="3"/>
                            <w:tcBorders>
                              <w:tl2br w:val="nil"/>
                              <w:tr2bl w:val="nil"/>
                            </w:tcBorders>
                            <w:shd w:val="clear" w:color="auto" w:fill="auto"/>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3232" w:type="dxa"/>
                            <w:tcBorders>
                              <w:tl2br w:val="nil"/>
                              <w:tr2bl w:val="nil"/>
                            </w:tcBorders>
                            <w:shd w:val="clear" w:color="auto" w:fill="auto"/>
                            <w:vAlign w:val="bottom"/>
                          </w:tcPr>
                          <w:p>
                            <w:pPr>
                              <w:rPr>
                                <w:rFonts w:eastAsia="黑体" w:cstheme="minorHAnsi"/>
                              </w:rPr>
                            </w:pPr>
                            <w:r>
                              <w:rPr>
                                <w:rFonts w:eastAsia="黑体" w:cstheme="minorHAnsi"/>
                                <w:spacing w:val="10"/>
                                <w:sz w:val="28"/>
                                <w:szCs w:val="28"/>
                              </w:rPr>
                              <w:t>202</w:t>
                            </w:r>
                            <w:r>
                              <w:rPr>
                                <w:rFonts w:hint="eastAsia" w:eastAsia="黑体" w:cstheme="minorHAnsi"/>
                                <w:spacing w:val="10"/>
                                <w:sz w:val="28"/>
                                <w:szCs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发布</w:t>
                            </w:r>
                          </w:p>
                        </w:tc>
                        <w:tc>
                          <w:tcPr>
                            <w:tcW w:w="3175" w:type="dxa"/>
                            <w:tcBorders>
                              <w:tl2br w:val="nil"/>
                              <w:tr2bl w:val="nil"/>
                            </w:tcBorders>
                            <w:shd w:val="clear" w:color="auto" w:fill="auto"/>
                            <w:vAlign w:val="bottom"/>
                          </w:tcPr>
                          <w:p>
                            <w:pPr>
                              <w:jc w:val="center"/>
                              <w:rPr>
                                <w:rFonts w:eastAsia="黑体" w:cstheme="minorHAnsi"/>
                                <w:sz w:val="28"/>
                              </w:rPr>
                            </w:pPr>
                          </w:p>
                        </w:tc>
                        <w:tc>
                          <w:tcPr>
                            <w:tcW w:w="3232" w:type="dxa"/>
                            <w:tcBorders>
                              <w:tl2br w:val="nil"/>
                              <w:tr2bl w:val="nil"/>
                            </w:tcBorders>
                            <w:shd w:val="clear" w:color="auto" w:fill="auto"/>
                            <w:vAlign w:val="bottom"/>
                          </w:tcPr>
                          <w:p>
                            <w:pPr>
                              <w:jc w:val="right"/>
                              <w:rPr>
                                <w:rFonts w:eastAsia="黑体" w:cstheme="minorHAnsi"/>
                              </w:rPr>
                            </w:pPr>
                            <w:r>
                              <w:rPr>
                                <w:rFonts w:eastAsia="黑体" w:cstheme="minorHAnsi"/>
                                <w:spacing w:val="10"/>
                                <w:sz w:val="28"/>
                                <w:szCs w:val="28"/>
                              </w:rPr>
                              <w:t>202</w:t>
                            </w:r>
                            <w:r>
                              <w:rPr>
                                <w:rFonts w:hint="eastAsia" w:eastAsia="黑体" w:cstheme="minorHAnsi"/>
                                <w:spacing w:val="10"/>
                                <w:sz w:val="28"/>
                                <w:szCs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w:t>
                            </w:r>
                            <w:r>
                              <w:rPr>
                                <w:rFonts w:hint="eastAsia" w:eastAsia="黑体" w:cstheme="minorHAnsi"/>
                                <w:sz w:val="28"/>
                              </w:rPr>
                              <w:t xml:space="preserve">  </w:t>
                            </w:r>
                            <w:r>
                              <w:rPr>
                                <w:rFonts w:eastAsia="黑体" w:cstheme="minorHAnsi"/>
                                <w:sz w:val="28"/>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9639" w:type="dxa"/>
                            <w:gridSpan w:val="3"/>
                            <w:tcBorders>
                              <w:tl2br w:val="nil"/>
                              <w:tr2bl w:val="nil"/>
                            </w:tcBorders>
                            <w:shd w:val="clear" w:color="auto" w:fill="auto"/>
                            <w:vAlign w:val="center"/>
                          </w:tcPr>
                          <w:p>
                            <w:pPr>
                              <w:jc w:val="center"/>
                              <w:rPr>
                                <w:rFonts w:eastAsia="黑体"/>
                                <w:spacing w:val="3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exact"/>
                          <w:jc w:val="center"/>
                        </w:trPr>
                        <w:tc>
                          <w:tcPr>
                            <w:tcW w:w="9639" w:type="dxa"/>
                            <w:gridSpan w:val="3"/>
                            <w:tcBorders>
                              <w:tl2br w:val="nil"/>
                              <w:tr2bl w:val="nil"/>
                            </w:tcBorders>
                            <w:shd w:val="clear" w:color="auto" w:fill="auto"/>
                          </w:tcPr>
                          <w:p>
                            <w:pPr>
                              <w:spacing w:line="360" w:lineRule="exact"/>
                              <w:ind w:firstLine="3608" w:firstLineChars="1100"/>
                              <w:rPr>
                                <w:sz w:val="30"/>
                                <w:szCs w:val="30"/>
                              </w:rPr>
                            </w:pPr>
                            <w:r>
                              <w:rPr>
                                <w:rFonts w:hint="eastAsia" w:eastAsia="黑体"/>
                                <w:spacing w:val="4"/>
                                <w:sz w:val="32"/>
                              </w:rPr>
                              <w:t xml:space="preserve">河南省药学会  </w:t>
                            </w:r>
                            <w:r>
                              <w:rPr>
                                <w:rFonts w:hint="eastAsia" w:eastAsia="黑体"/>
                                <w:spacing w:val="40"/>
                                <w:sz w:val="28"/>
                                <w:szCs w:val="28"/>
                              </w:rPr>
                              <w:t>发布</w:t>
                            </w:r>
                          </w:p>
                        </w:tc>
                      </w:tr>
                    </w:tbl>
                    <w:p/>
                  </w:txbxContent>
                </v:textbox>
              </v:shape>
            </w:pict>
          </mc:Fallback>
        </mc:AlternateContent>
      </w:r>
    </w:p>
    <w:p>
      <w:pPr>
        <w:pStyle w:val="28"/>
        <w:spacing w:before="0" w:after="0"/>
        <w:outlineLvl w:val="9"/>
        <w:rPr>
          <w:rFonts w:asciiTheme="minorHAnsi" w:hAnsiTheme="minorHAnsi"/>
        </w:rPr>
        <w:sectPr>
          <w:footerReference r:id="rId6" w:type="first"/>
          <w:footerReference r:id="rId5" w:type="default"/>
          <w:pgSz w:w="11906" w:h="16838"/>
          <w:pgMar w:top="1440" w:right="1800" w:bottom="1440" w:left="1800" w:header="1418" w:footer="1134" w:gutter="0"/>
          <w:pgBorders>
            <w:top w:val="none" w:sz="0" w:space="0"/>
            <w:left w:val="none" w:sz="0" w:space="0"/>
            <w:bottom w:val="none" w:sz="0" w:space="0"/>
            <w:right w:val="none" w:sz="0" w:space="0"/>
          </w:pgBorders>
          <w:cols w:space="720" w:num="1"/>
          <w:formProt w:val="0"/>
          <w:titlePg/>
          <w:docGrid w:linePitch="312" w:charSpace="0"/>
        </w:sectPr>
      </w:pPr>
      <w:bookmarkStart w:id="0" w:name="_Toc89184726"/>
      <w:bookmarkStart w:id="1" w:name="_Toc510534525"/>
      <w:bookmarkStart w:id="2" w:name="_Toc509933846"/>
    </w:p>
    <w:p>
      <w:pPr>
        <w:pStyle w:val="28"/>
        <w:spacing w:before="0" w:after="0"/>
        <w:rPr>
          <w:rFonts w:asciiTheme="minorHAnsi" w:hAnsiTheme="minorHAnsi"/>
        </w:rPr>
      </w:pPr>
      <w:bookmarkStart w:id="3" w:name="_Toc13219"/>
      <w:bookmarkStart w:id="4" w:name="_Toc23215"/>
      <w:bookmarkStart w:id="5" w:name="_Toc25245"/>
      <w:r>
        <w:rPr>
          <w:rFonts w:asciiTheme="minorHAnsi" w:hAnsiTheme="minorHAnsi"/>
        </w:rPr>
        <w:t>目</w:t>
      </w:r>
      <w:bookmarkStart w:id="6" w:name="BKML"/>
      <w:r>
        <w:rPr>
          <w:rFonts w:asciiTheme="minorHAnsi" w:hAnsiTheme="minorHAnsi"/>
        </w:rPr>
        <w:t xml:space="preserve">  次</w:t>
      </w:r>
      <w:bookmarkEnd w:id="0"/>
      <w:bookmarkEnd w:id="1"/>
      <w:bookmarkEnd w:id="2"/>
      <w:bookmarkEnd w:id="3"/>
      <w:bookmarkEnd w:id="4"/>
      <w:bookmarkEnd w:id="5"/>
      <w:bookmarkEnd w:id="6"/>
    </w:p>
    <w:p>
      <w:pPr>
        <w:pStyle w:val="12"/>
        <w:tabs>
          <w:tab w:val="right" w:leader="dot" w:pos="8312"/>
        </w:tabs>
      </w:pPr>
      <w:r>
        <w:rPr>
          <w:rFonts w:asciiTheme="minorHAnsi" w:hAnsiTheme="minorHAnsi" w:eastAsiaTheme="minorEastAsia"/>
          <w:b w:val="0"/>
          <w:sz w:val="21"/>
        </w:rPr>
        <w:fldChar w:fldCharType="begin"/>
      </w:r>
      <w:r>
        <w:rPr>
          <w:rFonts w:asciiTheme="minorHAnsi" w:hAnsiTheme="minorHAnsi" w:eastAsiaTheme="minorEastAsia"/>
          <w:b w:val="0"/>
          <w:sz w:val="21"/>
        </w:rPr>
        <w:instrText xml:space="preserve"> TOC \o "1-3" \h \z \u </w:instrText>
      </w:r>
      <w:r>
        <w:rPr>
          <w:rFonts w:asciiTheme="minorHAnsi" w:hAnsiTheme="minorHAnsi" w:eastAsiaTheme="minorEastAsia"/>
          <w:b w:val="0"/>
          <w:sz w:val="21"/>
        </w:rPr>
        <w:fldChar w:fldCharType="separate"/>
      </w:r>
      <w:r>
        <w:rPr>
          <w:rFonts w:asciiTheme="minorHAnsi" w:hAnsiTheme="minorHAnsi" w:eastAsiaTheme="minorEastAsia"/>
        </w:rPr>
        <w:fldChar w:fldCharType="begin"/>
      </w:r>
      <w:r>
        <w:rPr>
          <w:rFonts w:asciiTheme="minorHAnsi" w:hAnsiTheme="minorHAnsi" w:eastAsiaTheme="minorEastAsia"/>
        </w:rPr>
        <w:instrText xml:space="preserve"> HYPERLINK \l _Toc25245 </w:instrText>
      </w:r>
      <w:r>
        <w:rPr>
          <w:rFonts w:asciiTheme="minorHAnsi" w:hAnsiTheme="minorHAnsi" w:eastAsiaTheme="minorEastAsia"/>
        </w:rPr>
        <w:fldChar w:fldCharType="separate"/>
      </w:r>
      <w:r>
        <w:rPr>
          <w:rFonts w:asciiTheme="minorHAnsi" w:hAnsiTheme="minorHAnsi"/>
        </w:rPr>
        <w:t>目  次</w:t>
      </w:r>
      <w:r>
        <w:tab/>
      </w:r>
      <w:r>
        <w:fldChar w:fldCharType="begin"/>
      </w:r>
      <w:r>
        <w:instrText xml:space="preserve"> PAGEREF _Toc25245 \h </w:instrText>
      </w:r>
      <w:r>
        <w:fldChar w:fldCharType="separate"/>
      </w:r>
      <w:r>
        <w:t>1</w:t>
      </w:r>
      <w:r>
        <w:fldChar w:fldCharType="end"/>
      </w:r>
      <w:r>
        <w:rPr>
          <w:rFonts w:asciiTheme="minorHAnsi" w:hAnsiTheme="minorHAnsi" w:eastAsiaTheme="minorEastAsia"/>
        </w:rPr>
        <w:fldChar w:fldCharType="end"/>
      </w:r>
    </w:p>
    <w:p>
      <w:pPr>
        <w:pStyle w:val="12"/>
        <w:tabs>
          <w:tab w:val="right" w:leader="dot" w:pos="8312"/>
        </w:tabs>
      </w:pPr>
      <w:r>
        <w:rPr>
          <w:rFonts w:cs="Times New Roman"/>
        </w:rPr>
        <w:fldChar w:fldCharType="begin"/>
      </w:r>
      <w:r>
        <w:rPr>
          <w:rFonts w:cs="Times New Roman"/>
        </w:rPr>
        <w:instrText xml:space="preserve"> HYPERLINK \l _Toc32630 </w:instrText>
      </w:r>
      <w:r>
        <w:rPr>
          <w:rFonts w:cs="Times New Roman"/>
        </w:rPr>
        <w:fldChar w:fldCharType="separate"/>
      </w:r>
      <w:r>
        <w:rPr>
          <w:rFonts w:cs="Times New Roman" w:eastAsiaTheme="majorEastAsia"/>
          <w:szCs w:val="32"/>
        </w:rPr>
        <w:t>前  言</w:t>
      </w:r>
      <w:r>
        <w:tab/>
      </w:r>
      <w:r>
        <w:fldChar w:fldCharType="begin"/>
      </w:r>
      <w:r>
        <w:instrText xml:space="preserve"> PAGEREF _Toc32630 \h </w:instrText>
      </w:r>
      <w:r>
        <w:fldChar w:fldCharType="separate"/>
      </w:r>
      <w:r>
        <w:t>3</w:t>
      </w:r>
      <w:r>
        <w:fldChar w:fldCharType="end"/>
      </w:r>
      <w:r>
        <w:rPr>
          <w:rFonts w:cs="Times New Roman"/>
        </w:rPr>
        <w:fldChar w:fldCharType="end"/>
      </w:r>
    </w:p>
    <w:p>
      <w:pPr>
        <w:pStyle w:val="12"/>
        <w:tabs>
          <w:tab w:val="right" w:leader="dot" w:pos="8312"/>
        </w:tabs>
      </w:pPr>
      <w:r>
        <w:rPr>
          <w:rFonts w:cs="Times New Roman"/>
        </w:rPr>
        <w:fldChar w:fldCharType="begin"/>
      </w:r>
      <w:r>
        <w:rPr>
          <w:rFonts w:cs="Times New Roman"/>
        </w:rPr>
        <w:instrText xml:space="preserve"> HYPERLINK \l _Toc21820 </w:instrText>
      </w:r>
      <w:r>
        <w:rPr>
          <w:rFonts w:cs="Times New Roman"/>
        </w:rPr>
        <w:fldChar w:fldCharType="separate"/>
      </w:r>
      <w:r>
        <w:rPr>
          <w:rFonts w:cs="Times New Roman" w:eastAsiaTheme="majorEastAsia"/>
          <w:szCs w:val="32"/>
        </w:rPr>
        <w:t>引  言</w:t>
      </w:r>
      <w:r>
        <w:tab/>
      </w:r>
      <w:r>
        <w:fldChar w:fldCharType="begin"/>
      </w:r>
      <w:r>
        <w:instrText xml:space="preserve"> PAGEREF _Toc21820 \h </w:instrText>
      </w:r>
      <w:r>
        <w:fldChar w:fldCharType="separate"/>
      </w:r>
      <w:r>
        <w:t>4</w:t>
      </w:r>
      <w:r>
        <w:fldChar w:fldCharType="end"/>
      </w:r>
      <w:r>
        <w:rPr>
          <w:rFonts w:cs="Times New Roman"/>
        </w:rPr>
        <w:fldChar w:fldCharType="end"/>
      </w:r>
    </w:p>
    <w:p>
      <w:pPr>
        <w:pStyle w:val="12"/>
        <w:tabs>
          <w:tab w:val="right" w:leader="dot" w:pos="8312"/>
        </w:tabs>
      </w:pPr>
      <w:r>
        <w:rPr>
          <w:rFonts w:cs="Times New Roman"/>
        </w:rPr>
        <w:fldChar w:fldCharType="begin"/>
      </w:r>
      <w:r>
        <w:rPr>
          <w:rFonts w:cs="Times New Roman"/>
        </w:rPr>
        <w:instrText xml:space="preserve"> HYPERLINK \l _Toc3876 </w:instrText>
      </w:r>
      <w:r>
        <w:rPr>
          <w:rFonts w:cs="Times New Roman"/>
        </w:rPr>
        <w:fldChar w:fldCharType="separate"/>
      </w:r>
      <w:r>
        <w:rPr>
          <w:rFonts w:cs="Times New Roman" w:eastAsiaTheme="majorEastAsia"/>
          <w:szCs w:val="32"/>
        </w:rPr>
        <w:t>住院电子药历构建规范</w:t>
      </w:r>
      <w:r>
        <w:tab/>
      </w:r>
      <w:r>
        <w:fldChar w:fldCharType="begin"/>
      </w:r>
      <w:r>
        <w:instrText xml:space="preserve"> PAGEREF _Toc3876 \h </w:instrText>
      </w:r>
      <w:r>
        <w:fldChar w:fldCharType="separate"/>
      </w:r>
      <w:r>
        <w:t>5</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_Toc12082 </w:instrText>
      </w:r>
      <w:r>
        <w:rPr>
          <w:rFonts w:cs="Times New Roman"/>
        </w:rPr>
        <w:fldChar w:fldCharType="separate"/>
      </w:r>
      <w:r>
        <w:rPr>
          <w:rFonts w:cs="Times New Roman" w:asciiTheme="minorHAnsi" w:hAnsiTheme="minorHAnsi" w:eastAsiaTheme="minorEastAsia"/>
          <w:szCs w:val="21"/>
        </w:rPr>
        <w:t>1  范围</w:t>
      </w:r>
      <w:r>
        <w:tab/>
      </w:r>
      <w:r>
        <w:fldChar w:fldCharType="begin"/>
      </w:r>
      <w:r>
        <w:instrText xml:space="preserve"> PAGEREF _Toc12082 \h </w:instrText>
      </w:r>
      <w:r>
        <w:fldChar w:fldCharType="separate"/>
      </w:r>
      <w:r>
        <w:t>5</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_Toc10089 </w:instrText>
      </w:r>
      <w:r>
        <w:rPr>
          <w:rFonts w:cs="Times New Roman"/>
        </w:rPr>
        <w:fldChar w:fldCharType="separate"/>
      </w:r>
      <w:r>
        <w:rPr>
          <w:rFonts w:cs="Times New Roman" w:asciiTheme="minorHAnsi" w:hAnsiTheme="minorHAnsi" w:eastAsiaTheme="minorEastAsia"/>
          <w:szCs w:val="21"/>
        </w:rPr>
        <w:t>2  规范性引用文件</w:t>
      </w:r>
      <w:r>
        <w:tab/>
      </w:r>
      <w:r>
        <w:fldChar w:fldCharType="begin"/>
      </w:r>
      <w:r>
        <w:instrText xml:space="preserve"> PAGEREF _Toc10089 \h </w:instrText>
      </w:r>
      <w:r>
        <w:fldChar w:fldCharType="separate"/>
      </w:r>
      <w:r>
        <w:t>5</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_Toc12430 </w:instrText>
      </w:r>
      <w:r>
        <w:rPr>
          <w:rFonts w:cs="Times New Roman"/>
        </w:rPr>
        <w:fldChar w:fldCharType="separate"/>
      </w:r>
      <w:r>
        <w:rPr>
          <w:rFonts w:cs="Times New Roman" w:asciiTheme="minorHAnsi" w:hAnsiTheme="minorHAnsi" w:eastAsiaTheme="minorEastAsia"/>
          <w:szCs w:val="21"/>
        </w:rPr>
        <w:t>3  术语和定义</w:t>
      </w:r>
      <w:r>
        <w:tab/>
      </w:r>
      <w:r>
        <w:fldChar w:fldCharType="begin"/>
      </w:r>
      <w:r>
        <w:instrText xml:space="preserve"> PAGEREF _Toc12430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_Toc3825 </w:instrText>
      </w:r>
      <w:r>
        <w:rPr>
          <w:rFonts w:cs="Times New Roman"/>
        </w:rPr>
        <w:fldChar w:fldCharType="separate"/>
      </w:r>
      <w:r>
        <w:rPr>
          <w:rFonts w:cs="Times New Roman"/>
          <w:bCs w:val="0"/>
          <w:szCs w:val="21"/>
        </w:rPr>
        <w:t xml:space="preserve">3.1药品 </w:t>
      </w:r>
      <w:r>
        <w:tab/>
      </w:r>
      <w:r>
        <w:fldChar w:fldCharType="begin"/>
      </w:r>
      <w:r>
        <w:instrText xml:space="preserve"> PAGEREF _Toc3825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_Toc22724 </w:instrText>
      </w:r>
      <w:r>
        <w:rPr>
          <w:rFonts w:cs="Times New Roman"/>
        </w:rPr>
        <w:fldChar w:fldCharType="separate"/>
      </w:r>
      <w:r>
        <w:rPr>
          <w:rFonts w:cs="Times New Roman"/>
          <w:bCs w:val="0"/>
          <w:szCs w:val="21"/>
        </w:rPr>
        <w:t xml:space="preserve">3.2临床药师 </w:t>
      </w:r>
      <w:r>
        <w:tab/>
      </w:r>
      <w:r>
        <w:fldChar w:fldCharType="begin"/>
      </w:r>
      <w:r>
        <w:instrText xml:space="preserve"> PAGEREF _Toc22724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_Toc5386 </w:instrText>
      </w:r>
      <w:r>
        <w:rPr>
          <w:rFonts w:cs="Times New Roman"/>
        </w:rPr>
        <w:fldChar w:fldCharType="separate"/>
      </w:r>
      <w:r>
        <w:rPr>
          <w:rFonts w:cs="Times New Roman"/>
          <w:bCs w:val="0"/>
          <w:szCs w:val="21"/>
        </w:rPr>
        <w:t>3</w:t>
      </w:r>
      <w:r>
        <w:rPr>
          <w:rFonts w:eastAsia="宋体" w:cs="Times New Roman"/>
          <w:bCs w:val="0"/>
          <w:szCs w:val="21"/>
        </w:rPr>
        <w:t>.3药学监护</w:t>
      </w:r>
      <w:r>
        <w:tab/>
      </w:r>
      <w:r>
        <w:fldChar w:fldCharType="begin"/>
      </w:r>
      <w:r>
        <w:instrText xml:space="preserve"> PAGEREF _Toc5386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_Toc30950 </w:instrText>
      </w:r>
      <w:r>
        <w:rPr>
          <w:rFonts w:cs="Times New Roman"/>
        </w:rPr>
        <w:fldChar w:fldCharType="separate"/>
      </w:r>
      <w:r>
        <w:rPr>
          <w:rFonts w:cs="Times New Roman"/>
          <w:bCs w:val="0"/>
          <w:szCs w:val="21"/>
        </w:rPr>
        <w:t xml:space="preserve">3.4药学查房 </w:t>
      </w:r>
      <w:r>
        <w:tab/>
      </w:r>
      <w:r>
        <w:fldChar w:fldCharType="begin"/>
      </w:r>
      <w:r>
        <w:instrText xml:space="preserve"> PAGEREF _Toc30950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_Toc4472 </w:instrText>
      </w:r>
      <w:r>
        <w:rPr>
          <w:rFonts w:cs="Times New Roman"/>
        </w:rPr>
        <w:fldChar w:fldCharType="separate"/>
      </w:r>
      <w:r>
        <w:rPr>
          <w:rFonts w:cs="Times New Roman"/>
          <w:bCs w:val="0"/>
          <w:szCs w:val="21"/>
        </w:rPr>
        <w:t xml:space="preserve">3.5用药教育 </w:t>
      </w:r>
      <w:r>
        <w:tab/>
      </w:r>
      <w:r>
        <w:fldChar w:fldCharType="begin"/>
      </w:r>
      <w:r>
        <w:instrText xml:space="preserve"> PAGEREF _Toc4472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_Toc4287 </w:instrText>
      </w:r>
      <w:r>
        <w:rPr>
          <w:rFonts w:cs="Times New Roman"/>
        </w:rPr>
        <w:fldChar w:fldCharType="separate"/>
      </w:r>
      <w:r>
        <w:rPr>
          <w:rFonts w:eastAsia="宋体" w:cs="Times New Roman"/>
          <w:bCs w:val="0"/>
          <w:szCs w:val="21"/>
        </w:rPr>
        <w:t>3.6</w:t>
      </w:r>
      <w:r>
        <w:rPr>
          <w:rFonts w:hint="eastAsia" w:eastAsia="宋体" w:cs="Times New Roman"/>
          <w:bCs w:val="0"/>
          <w:szCs w:val="21"/>
        </w:rPr>
        <w:t>入院</w:t>
      </w:r>
      <w:r>
        <w:rPr>
          <w:rFonts w:eastAsia="宋体" w:cs="Times New Roman"/>
          <w:bCs w:val="0"/>
          <w:szCs w:val="21"/>
        </w:rPr>
        <w:t xml:space="preserve">药学评估 </w:t>
      </w:r>
      <w:r>
        <w:tab/>
      </w:r>
      <w:r>
        <w:fldChar w:fldCharType="begin"/>
      </w:r>
      <w:r>
        <w:instrText xml:space="preserve"> PAGEREF _Toc4287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_Toc14246 </w:instrText>
      </w:r>
      <w:r>
        <w:rPr>
          <w:rFonts w:cs="Times New Roman"/>
        </w:rPr>
        <w:fldChar w:fldCharType="separate"/>
      </w:r>
      <w:r>
        <w:rPr>
          <w:rFonts w:eastAsia="宋体" w:cs="Times New Roman"/>
          <w:bCs w:val="0"/>
          <w:szCs w:val="21"/>
        </w:rPr>
        <w:t xml:space="preserve">3.7药学监护分级 </w:t>
      </w:r>
      <w:r>
        <w:tab/>
      </w:r>
      <w:r>
        <w:fldChar w:fldCharType="begin"/>
      </w:r>
      <w:r>
        <w:instrText xml:space="preserve"> PAGEREF _Toc14246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_Toc5549 </w:instrText>
      </w:r>
      <w:r>
        <w:rPr>
          <w:rFonts w:cs="Times New Roman"/>
        </w:rPr>
        <w:fldChar w:fldCharType="separate"/>
      </w:r>
      <w:r>
        <w:rPr>
          <w:rFonts w:eastAsia="宋体" w:cs="Times New Roman"/>
          <w:bCs w:val="0"/>
          <w:szCs w:val="21"/>
        </w:rPr>
        <w:t xml:space="preserve">3.8药学监护计划 </w:t>
      </w:r>
      <w:r>
        <w:tab/>
      </w:r>
      <w:r>
        <w:fldChar w:fldCharType="begin"/>
      </w:r>
      <w:r>
        <w:instrText xml:space="preserve"> PAGEREF _Toc5549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_Toc144 </w:instrText>
      </w:r>
      <w:r>
        <w:rPr>
          <w:rFonts w:cs="Times New Roman"/>
        </w:rPr>
        <w:fldChar w:fldCharType="separate"/>
      </w:r>
      <w:r>
        <w:rPr>
          <w:rFonts w:eastAsia="宋体" w:cs="Times New Roman"/>
          <w:bCs w:val="0"/>
          <w:szCs w:val="21"/>
        </w:rPr>
        <w:t xml:space="preserve">3.9药品不良反应 </w:t>
      </w:r>
      <w:r>
        <w:tab/>
      </w:r>
      <w:r>
        <w:fldChar w:fldCharType="begin"/>
      </w:r>
      <w:r>
        <w:instrText xml:space="preserve"> PAGEREF _Toc144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_Toc31089 </w:instrText>
      </w:r>
      <w:r>
        <w:rPr>
          <w:rFonts w:cs="Times New Roman"/>
        </w:rPr>
        <w:fldChar w:fldCharType="separate"/>
      </w:r>
      <w:r>
        <w:rPr>
          <w:rFonts w:eastAsia="宋体" w:cs="Times New Roman"/>
          <w:bCs w:val="0"/>
          <w:szCs w:val="21"/>
        </w:rPr>
        <w:t>3.10药品不良事件</w:t>
      </w:r>
      <w:r>
        <w:tab/>
      </w:r>
      <w:r>
        <w:fldChar w:fldCharType="begin"/>
      </w:r>
      <w:r>
        <w:instrText xml:space="preserve"> PAGEREF _Toc31089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_Toc18657 </w:instrText>
      </w:r>
      <w:r>
        <w:rPr>
          <w:rFonts w:cs="Times New Roman"/>
        </w:rPr>
        <w:fldChar w:fldCharType="separate"/>
      </w:r>
      <w:r>
        <w:rPr>
          <w:rFonts w:cs="Times New Roman"/>
          <w:bCs w:val="0"/>
          <w:szCs w:val="21"/>
        </w:rPr>
        <w:t xml:space="preserve">3.11病历 </w:t>
      </w:r>
      <w:r>
        <w:tab/>
      </w:r>
      <w:r>
        <w:fldChar w:fldCharType="begin"/>
      </w:r>
      <w:r>
        <w:instrText xml:space="preserve"> PAGEREF _Toc18657 \h </w:instrText>
      </w:r>
      <w:r>
        <w:fldChar w:fldCharType="separate"/>
      </w:r>
      <w:r>
        <w:t>6</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_Toc14409 </w:instrText>
      </w:r>
      <w:r>
        <w:rPr>
          <w:rFonts w:cs="Times New Roman"/>
        </w:rPr>
        <w:fldChar w:fldCharType="separate"/>
      </w:r>
      <w:r>
        <w:rPr>
          <w:rFonts w:cs="Times New Roman"/>
          <w:bCs w:val="0"/>
          <w:szCs w:val="21"/>
        </w:rPr>
        <w:t>3.12电子病历</w:t>
      </w:r>
      <w:r>
        <w:tab/>
      </w:r>
      <w:r>
        <w:fldChar w:fldCharType="begin"/>
      </w:r>
      <w:r>
        <w:instrText xml:space="preserve"> PAGEREF _Toc14409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_Toc27927 </w:instrText>
      </w:r>
      <w:r>
        <w:rPr>
          <w:rFonts w:cs="Times New Roman"/>
        </w:rPr>
        <w:fldChar w:fldCharType="separate"/>
      </w:r>
      <w:r>
        <w:rPr>
          <w:rFonts w:cs="Times New Roman"/>
          <w:bCs w:val="0"/>
          <w:szCs w:val="21"/>
        </w:rPr>
        <w:t xml:space="preserve">3.13护理记录 </w:t>
      </w:r>
      <w:r>
        <w:tab/>
      </w:r>
      <w:r>
        <w:fldChar w:fldCharType="begin"/>
      </w:r>
      <w:r>
        <w:instrText xml:space="preserve"> PAGEREF _Toc27927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_Toc12560 </w:instrText>
      </w:r>
      <w:r>
        <w:rPr>
          <w:rFonts w:cs="Times New Roman"/>
        </w:rPr>
        <w:fldChar w:fldCharType="separate"/>
      </w:r>
      <w:r>
        <w:rPr>
          <w:rFonts w:cs="Times New Roman"/>
          <w:bCs w:val="0"/>
          <w:szCs w:val="21"/>
        </w:rPr>
        <w:t xml:space="preserve">3.14药历 </w:t>
      </w:r>
      <w:r>
        <w:tab/>
      </w:r>
      <w:r>
        <w:fldChar w:fldCharType="begin"/>
      </w:r>
      <w:r>
        <w:instrText xml:space="preserve"> PAGEREF _Toc12560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_Toc15273 </w:instrText>
      </w:r>
      <w:r>
        <w:rPr>
          <w:rFonts w:cs="Times New Roman"/>
        </w:rPr>
        <w:fldChar w:fldCharType="separate"/>
      </w:r>
      <w:r>
        <w:rPr>
          <w:rFonts w:eastAsia="宋体" w:cs="Times New Roman"/>
          <w:bCs w:val="0"/>
          <w:szCs w:val="21"/>
        </w:rPr>
        <w:t xml:space="preserve">3.15电子药历 </w:t>
      </w:r>
      <w:r>
        <w:tab/>
      </w:r>
      <w:r>
        <w:fldChar w:fldCharType="begin"/>
      </w:r>
      <w:r>
        <w:instrText xml:space="preserve"> PAGEREF _Toc15273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_Toc24384 </w:instrText>
      </w:r>
      <w:r>
        <w:rPr>
          <w:rFonts w:cs="Times New Roman"/>
        </w:rPr>
        <w:fldChar w:fldCharType="separate"/>
      </w:r>
      <w:r>
        <w:rPr>
          <w:rFonts w:cs="Times New Roman"/>
          <w:bCs w:val="0"/>
          <w:szCs w:val="21"/>
        </w:rPr>
        <w:t xml:space="preserve">3.16医院信息系统 </w:t>
      </w:r>
      <w:r>
        <w:tab/>
      </w:r>
      <w:r>
        <w:fldChar w:fldCharType="begin"/>
      </w:r>
      <w:r>
        <w:instrText xml:space="preserve"> PAGEREF _Toc24384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_Toc5510 </w:instrText>
      </w:r>
      <w:r>
        <w:rPr>
          <w:rFonts w:cs="Times New Roman"/>
        </w:rPr>
        <w:fldChar w:fldCharType="separate"/>
      </w:r>
      <w:r>
        <w:rPr>
          <w:rFonts w:cs="Times New Roman"/>
          <w:bCs w:val="0"/>
          <w:szCs w:val="21"/>
        </w:rPr>
        <w:t xml:space="preserve">3.17住院医师工作站 </w:t>
      </w:r>
      <w:r>
        <w:tab/>
      </w:r>
      <w:r>
        <w:fldChar w:fldCharType="begin"/>
      </w:r>
      <w:r>
        <w:instrText xml:space="preserve"> PAGEREF _Toc5510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_Toc3583 </w:instrText>
      </w:r>
      <w:r>
        <w:rPr>
          <w:rFonts w:cs="Times New Roman"/>
        </w:rPr>
        <w:fldChar w:fldCharType="separate"/>
      </w:r>
      <w:r>
        <w:rPr>
          <w:rFonts w:cs="Times New Roman"/>
          <w:bCs w:val="0"/>
          <w:szCs w:val="21"/>
        </w:rPr>
        <w:t xml:space="preserve">3.18住院临床药师工作站 </w:t>
      </w:r>
      <w:r>
        <w:tab/>
      </w:r>
      <w:r>
        <w:fldChar w:fldCharType="begin"/>
      </w:r>
      <w:r>
        <w:instrText xml:space="preserve"> PAGEREF _Toc3583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_Toc5992 </w:instrText>
      </w:r>
      <w:r>
        <w:rPr>
          <w:rFonts w:cs="Times New Roman"/>
        </w:rPr>
        <w:fldChar w:fldCharType="separate"/>
      </w:r>
      <w:r>
        <w:rPr>
          <w:rFonts w:hint="eastAsia" w:cs="Times New Roman"/>
          <w:bCs w:val="0"/>
          <w:szCs w:val="21"/>
          <w:lang w:val="en-US" w:eastAsia="zh-CN"/>
        </w:rPr>
        <w:t xml:space="preserve">3.19 实验室信息管理系统 </w:t>
      </w:r>
      <w:r>
        <w:tab/>
      </w:r>
      <w:r>
        <w:fldChar w:fldCharType="begin"/>
      </w:r>
      <w:r>
        <w:instrText xml:space="preserve"> PAGEREF _Toc5992 \h </w:instrText>
      </w:r>
      <w:r>
        <w:fldChar w:fldCharType="separate"/>
      </w:r>
      <w:r>
        <w:t>7</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_Toc5281 </w:instrText>
      </w:r>
      <w:r>
        <w:rPr>
          <w:rFonts w:cs="Times New Roman"/>
        </w:rPr>
        <w:fldChar w:fldCharType="separate"/>
      </w:r>
      <w:r>
        <w:rPr>
          <w:rFonts w:hint="eastAsia" w:cs="Times New Roman"/>
          <w:bCs w:val="0"/>
          <w:szCs w:val="21"/>
          <w:lang w:val="en-US" w:eastAsia="zh-CN"/>
        </w:rPr>
        <w:t>3.21合理用药监测系统</w:t>
      </w:r>
      <w:r>
        <w:tab/>
      </w:r>
      <w:r>
        <w:fldChar w:fldCharType="begin"/>
      </w:r>
      <w:r>
        <w:instrText xml:space="preserve"> PAGEREF _Toc5281 \h </w:instrText>
      </w:r>
      <w:r>
        <w:fldChar w:fldCharType="separate"/>
      </w:r>
      <w:r>
        <w:t>8</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_Toc15048 </w:instrText>
      </w:r>
      <w:r>
        <w:rPr>
          <w:rFonts w:cs="Times New Roman"/>
        </w:rPr>
        <w:fldChar w:fldCharType="separate"/>
      </w:r>
      <w:r>
        <w:rPr>
          <w:rFonts w:hint="eastAsia" w:cs="Times New Roman"/>
          <w:bCs w:val="0"/>
          <w:szCs w:val="21"/>
          <w:lang w:val="en-US" w:eastAsia="zh-CN"/>
        </w:rPr>
        <w:t xml:space="preserve">3.22 </w:t>
      </w:r>
      <w:r>
        <w:rPr>
          <w:rFonts w:hint="default" w:cs="Times New Roman"/>
          <w:bCs w:val="0"/>
          <w:szCs w:val="21"/>
          <w:lang w:val="en-US" w:eastAsia="zh-CN"/>
        </w:rPr>
        <w:t>静脉用药集中调配中心</w:t>
      </w:r>
      <w:r>
        <w:tab/>
      </w:r>
      <w:r>
        <w:fldChar w:fldCharType="begin"/>
      </w:r>
      <w:r>
        <w:instrText xml:space="preserve"> PAGEREF _Toc15048 \h </w:instrText>
      </w:r>
      <w:r>
        <w:fldChar w:fldCharType="separate"/>
      </w:r>
      <w:r>
        <w:t>8</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_Toc28749 </w:instrText>
      </w:r>
      <w:r>
        <w:rPr>
          <w:rFonts w:cs="Times New Roman"/>
        </w:rPr>
        <w:fldChar w:fldCharType="separate"/>
      </w:r>
      <w:r>
        <w:rPr>
          <w:rFonts w:cs="Times New Roman" w:asciiTheme="minorHAnsi" w:hAnsiTheme="minorHAnsi" w:eastAsiaTheme="minorEastAsia"/>
          <w:szCs w:val="21"/>
        </w:rPr>
        <w:t>4  电子药历的基本要求</w:t>
      </w:r>
      <w:r>
        <w:tab/>
      </w:r>
      <w:r>
        <w:fldChar w:fldCharType="begin"/>
      </w:r>
      <w:r>
        <w:instrText xml:space="preserve"> PAGEREF _Toc28749 \h </w:instrText>
      </w:r>
      <w:r>
        <w:fldChar w:fldCharType="separate"/>
      </w:r>
      <w:r>
        <w:t>8</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_Toc4990 </w:instrText>
      </w:r>
      <w:r>
        <w:rPr>
          <w:rFonts w:cs="Times New Roman"/>
        </w:rPr>
        <w:fldChar w:fldCharType="separate"/>
      </w:r>
      <w:r>
        <w:rPr>
          <w:rFonts w:cs="Times New Roman" w:asciiTheme="minorHAnsi" w:hAnsiTheme="minorHAnsi" w:eastAsiaTheme="minorEastAsia"/>
          <w:szCs w:val="21"/>
        </w:rPr>
        <w:t>5  电子药历的数据结构与信息模型</w:t>
      </w:r>
      <w:r>
        <w:tab/>
      </w:r>
      <w:r>
        <w:fldChar w:fldCharType="begin"/>
      </w:r>
      <w:r>
        <w:instrText xml:space="preserve"> PAGEREF _Toc4990 \h </w:instrText>
      </w:r>
      <w:r>
        <w:fldChar w:fldCharType="separate"/>
      </w:r>
      <w:r>
        <w:t>8</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_Toc27552 </w:instrText>
      </w:r>
      <w:r>
        <w:rPr>
          <w:rFonts w:cs="Times New Roman"/>
        </w:rPr>
        <w:fldChar w:fldCharType="separate"/>
      </w:r>
      <w:r>
        <w:rPr>
          <w:rFonts w:cstheme="minorHAnsi"/>
          <w:bCs w:val="0"/>
          <w:szCs w:val="21"/>
        </w:rPr>
        <w:t>5.1电子药历数据结构</w:t>
      </w:r>
      <w:r>
        <w:tab/>
      </w:r>
      <w:r>
        <w:fldChar w:fldCharType="begin"/>
      </w:r>
      <w:r>
        <w:instrText xml:space="preserve"> PAGEREF _Toc27552 \h </w:instrText>
      </w:r>
      <w:r>
        <w:fldChar w:fldCharType="separate"/>
      </w:r>
      <w:r>
        <w:t>9</w:t>
      </w:r>
      <w:r>
        <w:fldChar w:fldCharType="end"/>
      </w:r>
      <w:r>
        <w:rPr>
          <w:rFonts w:cs="Times New Roman"/>
        </w:rPr>
        <w:fldChar w:fldCharType="end"/>
      </w:r>
    </w:p>
    <w:p>
      <w:pPr>
        <w:pStyle w:val="8"/>
        <w:tabs>
          <w:tab w:val="right" w:leader="dot" w:pos="8312"/>
        </w:tabs>
      </w:pPr>
      <w:r>
        <w:rPr>
          <w:rFonts w:cs="Times New Roman"/>
        </w:rPr>
        <w:fldChar w:fldCharType="begin"/>
      </w:r>
      <w:r>
        <w:rPr>
          <w:rFonts w:cs="Times New Roman"/>
        </w:rPr>
        <w:instrText xml:space="preserve"> HYPERLINK \l _Toc14157 </w:instrText>
      </w:r>
      <w:r>
        <w:rPr>
          <w:rFonts w:cs="Times New Roman"/>
        </w:rPr>
        <w:fldChar w:fldCharType="separate"/>
      </w:r>
      <w:r>
        <w:rPr>
          <w:bCs w:val="0"/>
          <w:szCs w:val="21"/>
        </w:rPr>
        <w:t>5.2电子药历临床药学文档信息模型</w:t>
      </w:r>
      <w:r>
        <w:tab/>
      </w:r>
      <w:r>
        <w:fldChar w:fldCharType="begin"/>
      </w:r>
      <w:r>
        <w:instrText xml:space="preserve"> PAGEREF _Toc14157 \h </w:instrText>
      </w:r>
      <w:r>
        <w:fldChar w:fldCharType="separate"/>
      </w:r>
      <w:r>
        <w:t>10</w:t>
      </w:r>
      <w:r>
        <w:fldChar w:fldCharType="end"/>
      </w:r>
      <w:r>
        <w:rPr>
          <w:rFonts w:cs="Times New Roman"/>
        </w:rPr>
        <w:fldChar w:fldCharType="end"/>
      </w:r>
    </w:p>
    <w:p>
      <w:pPr>
        <w:pStyle w:val="13"/>
        <w:tabs>
          <w:tab w:val="right" w:leader="dot" w:pos="8312"/>
        </w:tabs>
      </w:pPr>
      <w:r>
        <w:rPr>
          <w:rFonts w:cs="Times New Roman"/>
        </w:rPr>
        <w:fldChar w:fldCharType="begin"/>
      </w:r>
      <w:r>
        <w:rPr>
          <w:rFonts w:cs="Times New Roman"/>
        </w:rPr>
        <w:instrText xml:space="preserve"> HYPERLINK \l _Toc19583 </w:instrText>
      </w:r>
      <w:r>
        <w:rPr>
          <w:rFonts w:cs="Times New Roman"/>
        </w:rPr>
        <w:fldChar w:fldCharType="separate"/>
      </w:r>
      <w:r>
        <w:rPr>
          <w:rFonts w:cs="Times New Roman" w:asciiTheme="minorHAnsi" w:hAnsiTheme="minorHAnsi"/>
          <w:szCs w:val="21"/>
        </w:rPr>
        <w:t>6  电子药历内容、信息来源及形成方法</w:t>
      </w:r>
      <w:r>
        <w:tab/>
      </w:r>
      <w:r>
        <w:fldChar w:fldCharType="begin"/>
      </w:r>
      <w:r>
        <w:instrText xml:space="preserve"> PAGEREF _Toc19583 \h </w:instrText>
      </w:r>
      <w:r>
        <w:fldChar w:fldCharType="separate"/>
      </w:r>
      <w:r>
        <w:t>13</w:t>
      </w:r>
      <w:r>
        <w:fldChar w:fldCharType="end"/>
      </w:r>
      <w:r>
        <w:rPr>
          <w:rFonts w:cs="Times New Roman"/>
        </w:rPr>
        <w:fldChar w:fldCharType="end"/>
      </w:r>
    </w:p>
    <w:p>
      <w:pPr>
        <w:pStyle w:val="12"/>
        <w:tabs>
          <w:tab w:val="right" w:leader="dot" w:pos="8312"/>
        </w:tabs>
      </w:pPr>
      <w:r>
        <w:rPr>
          <w:rFonts w:cs="Times New Roman"/>
        </w:rPr>
        <w:fldChar w:fldCharType="begin"/>
      </w:r>
      <w:r>
        <w:rPr>
          <w:rFonts w:cs="Times New Roman"/>
        </w:rPr>
        <w:instrText xml:space="preserve"> HYPERLINK \l _Toc1774 </w:instrText>
      </w:r>
      <w:r>
        <w:rPr>
          <w:rFonts w:cs="Times New Roman"/>
        </w:rPr>
        <w:fldChar w:fldCharType="separate"/>
      </w:r>
      <w:r>
        <w:rPr>
          <w:rFonts w:cs="Times New Roman" w:eastAsiaTheme="majorEastAsia"/>
          <w:szCs w:val="32"/>
        </w:rPr>
        <w:t>参考文献</w:t>
      </w:r>
      <w:r>
        <w:tab/>
      </w:r>
      <w:r>
        <w:fldChar w:fldCharType="begin"/>
      </w:r>
      <w:r>
        <w:instrText xml:space="preserve"> PAGEREF _Toc1774 \h </w:instrText>
      </w:r>
      <w:r>
        <w:fldChar w:fldCharType="separate"/>
      </w:r>
      <w:r>
        <w:t>15</w:t>
      </w:r>
      <w:r>
        <w:fldChar w:fldCharType="end"/>
      </w:r>
      <w:r>
        <w:rPr>
          <w:rFonts w:cs="Times New Roman"/>
        </w:rPr>
        <w:fldChar w:fldCharType="end"/>
      </w:r>
    </w:p>
    <w:p>
      <w:pPr>
        <w:rPr>
          <w:rFonts w:cs="Times New Roman"/>
        </w:rPr>
      </w:pPr>
      <w:r>
        <w:rPr>
          <w:rFonts w:cs="Times New Roman"/>
        </w:rPr>
        <w:fldChar w:fldCharType="end"/>
      </w:r>
      <w:r>
        <w:rPr>
          <w:rFonts w:cs="Times New Roman"/>
        </w:rPr>
        <w:br w:type="page"/>
      </w:r>
    </w:p>
    <w:p>
      <w:pPr>
        <w:pStyle w:val="2"/>
        <w:spacing w:before="300" w:after="300" w:line="360" w:lineRule="auto"/>
        <w:jc w:val="center"/>
        <w:rPr>
          <w:rFonts w:cs="Times New Roman" w:eastAsiaTheme="majorEastAsia"/>
          <w:sz w:val="32"/>
          <w:szCs w:val="32"/>
        </w:rPr>
      </w:pPr>
      <w:bookmarkStart w:id="7" w:name="_Toc32630"/>
      <w:r>
        <w:rPr>
          <w:rFonts w:cs="Times New Roman" w:eastAsiaTheme="majorEastAsia"/>
          <w:sz w:val="32"/>
          <w:szCs w:val="32"/>
        </w:rPr>
        <w:t>前  言</w:t>
      </w:r>
      <w:bookmarkEnd w:id="7"/>
    </w:p>
    <w:p>
      <w:pPr>
        <w:pStyle w:val="24"/>
        <w:spacing w:line="360" w:lineRule="auto"/>
        <w:ind w:firstLine="420"/>
        <w:rPr>
          <w:rFonts w:asciiTheme="minorHAnsi" w:hAnsiTheme="minorHAnsi"/>
          <w:color w:val="000000" w:themeColor="text1"/>
          <w:szCs w:val="21"/>
          <w14:textFill>
            <w14:solidFill>
              <w14:schemeClr w14:val="tx1"/>
            </w14:solidFill>
          </w14:textFill>
        </w:rPr>
      </w:pPr>
      <w:r>
        <w:rPr>
          <w:rFonts w:asciiTheme="minorHAnsi" w:hAnsiTheme="minorHAnsi"/>
          <w:color w:val="000000" w:themeColor="text1"/>
          <w:szCs w:val="21"/>
          <w14:textFill>
            <w14:solidFill>
              <w14:schemeClr w14:val="tx1"/>
            </w14:solidFill>
          </w14:textFill>
        </w:rPr>
        <w:t>本标准按照GB/T1.1-2020《标准化工作导则第1部分：标准化文件的结构和起草规则》给出的规则体例格式起草。</w:t>
      </w:r>
    </w:p>
    <w:p>
      <w:pPr>
        <w:pStyle w:val="24"/>
        <w:spacing w:line="360" w:lineRule="auto"/>
        <w:ind w:firstLine="420"/>
        <w:rPr>
          <w:rFonts w:asciiTheme="minorHAnsi" w:hAnsiTheme="minorHAnsi"/>
          <w:color w:val="000000" w:themeColor="text1"/>
          <w:szCs w:val="21"/>
          <w14:textFill>
            <w14:solidFill>
              <w14:schemeClr w14:val="tx1"/>
            </w14:solidFill>
          </w14:textFill>
        </w:rPr>
      </w:pPr>
      <w:r>
        <w:rPr>
          <w:rFonts w:asciiTheme="minorHAnsi" w:hAnsiTheme="minorHAnsi"/>
          <w:color w:val="000000" w:themeColor="text1"/>
          <w:szCs w:val="21"/>
          <w14:textFill>
            <w14:solidFill>
              <w14:schemeClr w14:val="tx1"/>
            </w14:solidFill>
          </w14:textFill>
        </w:rPr>
        <w:t>本标准由河南省药学会、河南中医药大学第一附属医院提出。</w:t>
      </w:r>
    </w:p>
    <w:p>
      <w:pPr>
        <w:pStyle w:val="24"/>
        <w:spacing w:line="360" w:lineRule="auto"/>
        <w:ind w:firstLine="420"/>
        <w:rPr>
          <w:rFonts w:asciiTheme="minorHAnsi" w:hAnsiTheme="minorHAnsi"/>
          <w:color w:val="000000" w:themeColor="text1"/>
          <w:szCs w:val="21"/>
          <w14:textFill>
            <w14:solidFill>
              <w14:schemeClr w14:val="tx1"/>
            </w14:solidFill>
          </w14:textFill>
        </w:rPr>
      </w:pPr>
      <w:r>
        <w:rPr>
          <w:rFonts w:asciiTheme="minorHAnsi" w:hAnsiTheme="minorHAnsi"/>
          <w:color w:val="000000" w:themeColor="text1"/>
          <w:szCs w:val="21"/>
          <w14:textFill>
            <w14:solidFill>
              <w14:schemeClr w14:val="tx1"/>
            </w14:solidFill>
          </w14:textFill>
        </w:rPr>
        <w:t>本标准由河南省药学会归口。</w:t>
      </w:r>
    </w:p>
    <w:p>
      <w:pPr>
        <w:pStyle w:val="24"/>
        <w:spacing w:line="360" w:lineRule="auto"/>
        <w:ind w:firstLine="420"/>
        <w:rPr>
          <w:rFonts w:asciiTheme="minorHAnsi" w:hAnsiTheme="minorHAnsi"/>
          <w:color w:val="000000" w:themeColor="text1"/>
          <w14:textFill>
            <w14:solidFill>
              <w14:schemeClr w14:val="tx1"/>
            </w14:solidFill>
          </w14:textFill>
        </w:rPr>
      </w:pPr>
      <w:r>
        <w:rPr>
          <w:rFonts w:asciiTheme="minorHAnsi" w:hAnsiTheme="minorHAnsi"/>
          <w:color w:val="000000" w:themeColor="text1"/>
          <w14:textFill>
            <w14:solidFill>
              <w14:schemeClr w14:val="tx1"/>
            </w14:solidFill>
          </w14:textFill>
        </w:rPr>
        <w:t>本标准起草单位：河南中医药大学第一附属医院、河南省肿瘤医院、河南省人民医院、郑州大学第一附属医院、郑州大学第二附属医院、郑州大学第三附属医院、河南中医药大学第二附属医院、河南九元医药大数据研究院。</w:t>
      </w:r>
    </w:p>
    <w:p>
      <w:pPr>
        <w:pStyle w:val="24"/>
        <w:spacing w:line="360" w:lineRule="auto"/>
        <w:ind w:firstLine="420"/>
        <w:rPr>
          <w:rFonts w:asciiTheme="minorHAnsi" w:hAnsiTheme="minorHAnsi"/>
          <w:color w:val="000000" w:themeColor="text1"/>
          <w14:textFill>
            <w14:solidFill>
              <w14:schemeClr w14:val="tx1"/>
            </w14:solidFill>
          </w14:textFill>
        </w:rPr>
      </w:pPr>
      <w:r>
        <w:rPr>
          <w:rFonts w:asciiTheme="minorHAnsi" w:hAnsiTheme="minorHAnsi"/>
          <w:color w:val="000000" w:themeColor="text1"/>
          <w14:textFill>
            <w14:solidFill>
              <w14:schemeClr w14:val="tx1"/>
            </w14:solidFill>
          </w14:textFill>
        </w:rPr>
        <w:t>本标准牵头起草人：李学林。</w:t>
      </w:r>
    </w:p>
    <w:p>
      <w:pPr>
        <w:pStyle w:val="24"/>
        <w:spacing w:line="360" w:lineRule="auto"/>
        <w:ind w:firstLine="420"/>
        <w:rPr>
          <w:rFonts w:asciiTheme="minorHAnsi" w:hAnsiTheme="minorHAnsi"/>
          <w:color w:val="000000" w:themeColor="text1"/>
          <w14:textFill>
            <w14:solidFill>
              <w14:schemeClr w14:val="tx1"/>
            </w14:solidFill>
          </w14:textFill>
        </w:rPr>
      </w:pPr>
      <w:r>
        <w:rPr>
          <w:rFonts w:asciiTheme="minorHAnsi" w:hAnsiTheme="minorHAnsi"/>
          <w:color w:val="000000" w:themeColor="text1"/>
          <w14:textFill>
            <w14:solidFill>
              <w14:schemeClr w14:val="tx1"/>
            </w14:solidFill>
          </w14:textFill>
        </w:rPr>
        <w:t>本标准主要起草人：周鹏、杜娟、康冰亚、张博、李春晓、柴东燕、赵娅、赵熙婷、凌霄、李峰、冀建伟、郭华、焦伟杰、孟菲、杨亚蕾、马静、薛昀、徐涛、荣春蕾、</w:t>
      </w:r>
      <w:r>
        <w:rPr>
          <w:rFonts w:asciiTheme="minorHAnsi" w:hAnsiTheme="minorHAnsi"/>
          <w:color w:val="000000" w:themeColor="text1"/>
          <w:szCs w:val="21"/>
          <w14:textFill>
            <w14:solidFill>
              <w14:schemeClr w14:val="tx1"/>
            </w14:solidFill>
          </w14:textFill>
        </w:rPr>
        <w:t>王盼盼、温瀑、冯菲、李春兰、赵政</w:t>
      </w:r>
      <w:r>
        <w:rPr>
          <w:rFonts w:asciiTheme="minorHAnsi" w:hAnsiTheme="minorHAnsi"/>
          <w:color w:val="000000" w:themeColor="text1"/>
          <w14:textFill>
            <w14:solidFill>
              <w14:schemeClr w14:val="tx1"/>
            </w14:solidFill>
          </w14:textFill>
        </w:rPr>
        <w:t>。</w:t>
      </w:r>
    </w:p>
    <w:p>
      <w:pPr>
        <w:pStyle w:val="24"/>
        <w:spacing w:line="360" w:lineRule="auto"/>
        <w:ind w:firstLine="420"/>
        <w:rPr>
          <w:rFonts w:asciiTheme="minorHAnsi" w:hAnsiTheme="minorHAnsi"/>
        </w:rPr>
      </w:pPr>
    </w:p>
    <w:p>
      <w:pPr>
        <w:pStyle w:val="2"/>
        <w:spacing w:before="300" w:after="300" w:line="360" w:lineRule="auto"/>
        <w:jc w:val="center"/>
        <w:rPr>
          <w:rFonts w:cs="Times New Roman" w:eastAsiaTheme="majorEastAsia"/>
          <w:sz w:val="32"/>
          <w:szCs w:val="32"/>
        </w:rPr>
        <w:sectPr>
          <w:footerReference r:id="rId7" w:type="default"/>
          <w:pgSz w:w="11906" w:h="16838"/>
          <w:pgMar w:top="1440" w:right="1797" w:bottom="1440" w:left="1797" w:header="1418" w:footer="1134" w:gutter="0"/>
          <w:pgBorders>
            <w:top w:val="none" w:sz="0" w:space="0"/>
            <w:left w:val="none" w:sz="0" w:space="0"/>
            <w:bottom w:val="none" w:sz="0" w:space="0"/>
            <w:right w:val="none" w:sz="0" w:space="0"/>
          </w:pgBorders>
          <w:pgNumType w:start="1"/>
          <w:cols w:space="720" w:num="1"/>
          <w:formProt w:val="0"/>
          <w:titlePg/>
          <w:docGrid w:linePitch="312" w:charSpace="0"/>
        </w:sectPr>
      </w:pPr>
      <w:bookmarkStart w:id="8" w:name="_Toc510534526"/>
      <w:bookmarkStart w:id="9" w:name="_Toc509933847"/>
      <w:bookmarkStart w:id="10" w:name="_Toc436205034"/>
    </w:p>
    <w:p>
      <w:pPr>
        <w:pStyle w:val="2"/>
        <w:spacing w:before="300" w:after="300" w:line="360" w:lineRule="auto"/>
        <w:jc w:val="center"/>
        <w:rPr>
          <w:rFonts w:cs="Times New Roman" w:eastAsiaTheme="majorEastAsia"/>
          <w:sz w:val="32"/>
          <w:szCs w:val="32"/>
        </w:rPr>
      </w:pPr>
      <w:bookmarkStart w:id="11" w:name="_Toc21820"/>
      <w:r>
        <w:rPr>
          <w:rFonts w:cs="Times New Roman" w:eastAsiaTheme="majorEastAsia"/>
          <w:sz w:val="32"/>
          <w:szCs w:val="32"/>
        </w:rPr>
        <w:t>引</w:t>
      </w:r>
      <w:bookmarkStart w:id="12" w:name="BKYY"/>
      <w:r>
        <w:rPr>
          <w:rFonts w:cs="Times New Roman" w:eastAsiaTheme="majorEastAsia"/>
          <w:sz w:val="32"/>
          <w:szCs w:val="32"/>
        </w:rPr>
        <w:t xml:space="preserve">  言</w:t>
      </w:r>
      <w:bookmarkEnd w:id="8"/>
      <w:bookmarkEnd w:id="9"/>
      <w:bookmarkEnd w:id="10"/>
      <w:bookmarkEnd w:id="11"/>
      <w:bookmarkEnd w:id="12"/>
    </w:p>
    <w:p>
      <w:pPr>
        <w:pStyle w:val="24"/>
        <w:snapToGrid w:val="0"/>
        <w:spacing w:line="360" w:lineRule="auto"/>
        <w:ind w:firstLine="420"/>
        <w:rPr>
          <w:rFonts w:asciiTheme="minorHAnsi" w:hAnsiTheme="minorHAnsi"/>
          <w:szCs w:val="24"/>
        </w:rPr>
      </w:pPr>
      <w:r>
        <w:rPr>
          <w:rFonts w:asciiTheme="minorHAnsi" w:hAnsiTheme="minorHAnsi"/>
          <w:szCs w:val="24"/>
        </w:rPr>
        <w:t>药历是临床药师在参与临床药学实践中形成的患者药物治疗过程的记录，是体现临床药师提供药学服务水平的文字记录，与病历和护理记录相同，都属于医疗文书。然而，传统模式下药历的数据采集非常耗费时间，工作量大，效率低，而且在资料备份、存储、使用等方面也不能达到令人满意的效果。</w:t>
      </w:r>
    </w:p>
    <w:p>
      <w:pPr>
        <w:pStyle w:val="24"/>
        <w:snapToGrid w:val="0"/>
        <w:spacing w:line="360" w:lineRule="auto"/>
        <w:ind w:firstLine="420"/>
        <w:rPr>
          <w:rFonts w:asciiTheme="minorHAnsi" w:hAnsiTheme="minorHAnsi"/>
          <w:szCs w:val="24"/>
        </w:rPr>
      </w:pPr>
      <w:r>
        <w:rPr>
          <w:rFonts w:asciiTheme="minorHAnsi" w:hAnsiTheme="minorHAnsi"/>
          <w:szCs w:val="24"/>
        </w:rPr>
        <w:t>电子药历是临床药师在药学服务活动过程中使用信息系统生成的文字、符号、图表、数字等数字化信息，并能实现存储、管理、传输和重现的药学服务记录，是药历的一种记录形式，包括门（急）诊药历和住院药历。电子药历通过信息化手段调用医院信息系统中已经存在的各种数据，具有数据全面、可靠，操作简便的优点，同时也可以搭建一个存储量大，数据处理方便，查询及输出快捷的平台。一方面可以规范临床药师的工作流程，提高临床药师的工作效率，保障药历和药学监护的质量，使临床药师有更多的时间和精力为更多的患者提供药学监护；另一方面，电子药历完整记录了患者用药信息与药学监护结果，其产生的大量数据便于长期保存、共享和检索，在药学科研上也具有较大价值。</w:t>
      </w:r>
    </w:p>
    <w:p>
      <w:pPr>
        <w:pStyle w:val="24"/>
        <w:snapToGrid w:val="0"/>
        <w:spacing w:line="360" w:lineRule="auto"/>
        <w:ind w:firstLine="420"/>
        <w:rPr>
          <w:rFonts w:asciiTheme="minorHAnsi" w:hAnsiTheme="minorHAnsi"/>
        </w:rPr>
        <w:sectPr>
          <w:footerReference r:id="rId9" w:type="first"/>
          <w:footerReference r:id="rId8" w:type="default"/>
          <w:pgSz w:w="11906" w:h="16838"/>
          <w:pgMar w:top="1440" w:right="1797" w:bottom="1440" w:left="1797" w:header="1418" w:footer="1134" w:gutter="0"/>
          <w:pgBorders>
            <w:top w:val="none" w:sz="0" w:space="0"/>
            <w:left w:val="none" w:sz="0" w:space="0"/>
            <w:bottom w:val="none" w:sz="0" w:space="0"/>
            <w:right w:val="none" w:sz="0" w:space="0"/>
          </w:pgBorders>
          <w:pgNumType w:start="4"/>
          <w:cols w:space="720" w:num="1"/>
          <w:formProt w:val="0"/>
          <w:titlePg/>
          <w:docGrid w:linePitch="312" w:charSpace="0"/>
        </w:sectPr>
      </w:pPr>
      <w:r>
        <w:rPr>
          <w:rFonts w:asciiTheme="minorHAnsi" w:hAnsiTheme="minorHAnsi"/>
          <w:szCs w:val="24"/>
        </w:rPr>
        <w:t>本标准以河南省药学会团体标准《住院患者药学监护技术规范》《住院患者药历书写基本规范》为编写依据，将通过建立住院电子药历构建规范，帮助临床药师规范、准确、高效地完成药学监护及药历书写，促进医院临床药学的发展，对现有的工作标准和模式产生较大的影响，将来也很有可能会被纳入正式医疗文书体系中。</w:t>
      </w:r>
    </w:p>
    <w:p>
      <w:pPr>
        <w:pStyle w:val="2"/>
        <w:spacing w:before="300" w:after="300" w:line="360" w:lineRule="auto"/>
        <w:jc w:val="center"/>
        <w:rPr>
          <w:rFonts w:cs="Times New Roman" w:eastAsiaTheme="majorEastAsia"/>
          <w:sz w:val="32"/>
          <w:szCs w:val="32"/>
        </w:rPr>
      </w:pPr>
      <w:bookmarkStart w:id="13" w:name="_Toc3876"/>
      <w:bookmarkStart w:id="14" w:name="_Toc459704603"/>
      <w:bookmarkStart w:id="15" w:name="_Toc459720143"/>
      <w:bookmarkStart w:id="16" w:name="_Toc459724774"/>
      <w:bookmarkStart w:id="17" w:name="_Toc509933849"/>
      <w:bookmarkStart w:id="18" w:name="_Toc510534528"/>
      <w:r>
        <w:rPr>
          <w:rFonts w:cs="Times New Roman" w:eastAsiaTheme="majorEastAsia"/>
          <w:sz w:val="32"/>
          <w:szCs w:val="32"/>
        </w:rPr>
        <w:t>住院电子药历构建规范</w:t>
      </w:r>
      <w:bookmarkEnd w:id="13"/>
    </w:p>
    <w:p>
      <w:pPr>
        <w:pStyle w:val="3"/>
        <w:spacing w:before="200" w:after="200" w:line="360" w:lineRule="auto"/>
        <w:rPr>
          <w:rFonts w:cs="Times New Roman" w:asciiTheme="minorHAnsi" w:hAnsiTheme="minorHAnsi" w:eastAsiaTheme="minorEastAsia"/>
          <w:sz w:val="21"/>
          <w:szCs w:val="21"/>
        </w:rPr>
      </w:pPr>
      <w:bookmarkStart w:id="19" w:name="_Toc12082"/>
      <w:r>
        <w:rPr>
          <w:rFonts w:cs="Times New Roman" w:asciiTheme="minorHAnsi" w:hAnsiTheme="minorHAnsi" w:eastAsiaTheme="minorEastAsia"/>
          <w:sz w:val="21"/>
          <w:szCs w:val="21"/>
        </w:rPr>
        <w:t>1  范围</w:t>
      </w:r>
      <w:bookmarkEnd w:id="14"/>
      <w:bookmarkEnd w:id="15"/>
      <w:bookmarkEnd w:id="16"/>
      <w:bookmarkEnd w:id="17"/>
      <w:bookmarkEnd w:id="18"/>
      <w:bookmarkEnd w:id="19"/>
    </w:p>
    <w:p>
      <w:pPr>
        <w:pStyle w:val="24"/>
        <w:spacing w:line="360" w:lineRule="auto"/>
        <w:ind w:firstLine="420"/>
        <w:rPr>
          <w:rFonts w:asciiTheme="minorHAnsi" w:hAnsiTheme="minorHAnsi"/>
        </w:rPr>
      </w:pPr>
      <w:bookmarkStart w:id="20" w:name="_Toc459724775"/>
      <w:bookmarkStart w:id="21" w:name="_Toc459720144"/>
      <w:bookmarkStart w:id="22" w:name="_Toc459704604"/>
      <w:r>
        <w:rPr>
          <w:rFonts w:asciiTheme="minorHAnsi" w:hAnsiTheme="minorHAnsi"/>
        </w:rPr>
        <w:t>本文件规定了药历、电子药历等术语定义。</w:t>
      </w:r>
    </w:p>
    <w:bookmarkEnd w:id="20"/>
    <w:bookmarkEnd w:id="21"/>
    <w:bookmarkEnd w:id="22"/>
    <w:p>
      <w:pPr>
        <w:pStyle w:val="24"/>
        <w:spacing w:line="360" w:lineRule="auto"/>
        <w:ind w:firstLine="420"/>
        <w:rPr>
          <w:rFonts w:asciiTheme="minorHAnsi" w:hAnsiTheme="minorHAnsi"/>
        </w:rPr>
      </w:pPr>
      <w:bookmarkStart w:id="23" w:name="_Toc459720145"/>
      <w:bookmarkStart w:id="24" w:name="_Toc459724776"/>
      <w:r>
        <w:rPr>
          <w:rFonts w:asciiTheme="minorHAnsi" w:hAnsiTheme="minorHAnsi"/>
        </w:rPr>
        <w:t>本文件适用于实施电子药历的医疗机构及其临床药师。</w:t>
      </w:r>
    </w:p>
    <w:p>
      <w:pPr>
        <w:pStyle w:val="24"/>
        <w:spacing w:line="360" w:lineRule="auto"/>
        <w:ind w:firstLine="420"/>
        <w:rPr>
          <w:rFonts w:asciiTheme="minorHAnsi" w:hAnsiTheme="minorHAnsi"/>
        </w:rPr>
      </w:pPr>
      <w:r>
        <w:rPr>
          <w:rFonts w:asciiTheme="minorHAnsi" w:hAnsiTheme="minorHAnsi"/>
        </w:rPr>
        <w:t>本文件适用于医疗机构临床药师开展住院患者药学监护工作的规范管理，指导临床药师规范书写住院患者药学监护记录。</w:t>
      </w:r>
    </w:p>
    <w:p>
      <w:pPr>
        <w:pStyle w:val="3"/>
        <w:spacing w:before="200" w:after="200" w:line="360" w:lineRule="auto"/>
        <w:rPr>
          <w:rFonts w:cs="Times New Roman" w:asciiTheme="minorHAnsi" w:hAnsiTheme="minorHAnsi" w:eastAsiaTheme="minorEastAsia"/>
          <w:sz w:val="21"/>
          <w:szCs w:val="21"/>
        </w:rPr>
      </w:pPr>
      <w:bookmarkStart w:id="25" w:name="_Toc10089"/>
      <w:r>
        <w:rPr>
          <w:rFonts w:cs="Times New Roman" w:asciiTheme="minorHAnsi" w:hAnsiTheme="minorHAnsi" w:eastAsiaTheme="minorEastAsia"/>
          <w:sz w:val="21"/>
          <w:szCs w:val="21"/>
        </w:rPr>
        <w:t>2  规范性引用文件</w:t>
      </w:r>
      <w:bookmarkEnd w:id="25"/>
    </w:p>
    <w:p>
      <w:pPr>
        <w:pStyle w:val="24"/>
        <w:spacing w:line="360" w:lineRule="auto"/>
        <w:ind w:firstLine="421" w:firstLineChars="0"/>
        <w:rPr>
          <w:rFonts w:asciiTheme="minorHAnsi" w:hAnsiTheme="minorHAnsi"/>
        </w:rPr>
      </w:pPr>
      <w:r>
        <w:rPr>
          <w:rFonts w:asciiTheme="minorHAnsi" w:hAnsiTheme="minorHAnsi"/>
        </w:rPr>
        <w:t>下列文件对于本文件的应用是必不可少的。凡是注日期的引用文件，仅注日期的版本适用于本文件。凡是不注日期的引用文件，其最新版本（包括所有的修改单）适用于本文件。</w:t>
      </w:r>
    </w:p>
    <w:p>
      <w:pPr>
        <w:pStyle w:val="24"/>
        <w:snapToGrid w:val="0"/>
        <w:spacing w:line="360" w:lineRule="auto"/>
        <w:ind w:firstLine="421" w:firstLineChars="0"/>
      </w:pPr>
      <w:r>
        <w:rPr>
          <w:rFonts w:asciiTheme="minorHAnsi" w:hAnsiTheme="minorHAnsi"/>
        </w:rPr>
        <w:t>《</w:t>
      </w:r>
      <w:r>
        <w:rPr>
          <w:rFonts w:hint="eastAsia" w:asciiTheme="minorHAnsi" w:hAnsiTheme="minorHAnsi"/>
        </w:rPr>
        <w:t>中华人民共和国</w:t>
      </w:r>
      <w:r>
        <w:rPr>
          <w:rFonts w:asciiTheme="minorHAnsi" w:hAnsiTheme="minorHAnsi"/>
        </w:rPr>
        <w:t>药品管理法》</w:t>
      </w:r>
    </w:p>
    <w:p>
      <w:pPr>
        <w:pStyle w:val="24"/>
        <w:snapToGrid w:val="0"/>
        <w:spacing w:line="360" w:lineRule="auto"/>
        <w:ind w:firstLine="421" w:firstLineChars="0"/>
      </w:pPr>
      <w:r>
        <w:t>《中华人民共和国医师法》</w:t>
      </w:r>
    </w:p>
    <w:p>
      <w:pPr>
        <w:pStyle w:val="24"/>
        <w:snapToGrid w:val="0"/>
        <w:spacing w:line="360" w:lineRule="auto"/>
        <w:ind w:firstLine="421" w:firstLineChars="0"/>
        <w:rPr>
          <w:rFonts w:asciiTheme="minorHAnsi" w:hAnsiTheme="minorHAnsi"/>
        </w:rPr>
      </w:pPr>
      <w:r>
        <w:rPr>
          <w:rFonts w:asciiTheme="minorHAnsi" w:hAnsiTheme="minorHAnsi"/>
        </w:rPr>
        <w:t>《药品不良反应报告与监测管理办法》</w:t>
      </w:r>
    </w:p>
    <w:p>
      <w:pPr>
        <w:pStyle w:val="24"/>
        <w:snapToGrid w:val="0"/>
        <w:spacing w:line="360" w:lineRule="auto"/>
        <w:ind w:firstLine="421" w:firstLineChars="0"/>
        <w:rPr>
          <w:rFonts w:asciiTheme="minorHAnsi" w:hAnsiTheme="minorHAnsi"/>
        </w:rPr>
      </w:pPr>
      <w:r>
        <w:rPr>
          <w:rFonts w:asciiTheme="minorHAnsi" w:hAnsiTheme="minorHAnsi"/>
        </w:rPr>
        <w:t>《医疗机构药事管理规定》</w:t>
      </w:r>
    </w:p>
    <w:p>
      <w:pPr>
        <w:pStyle w:val="24"/>
        <w:snapToGrid w:val="0"/>
        <w:spacing w:line="360" w:lineRule="auto"/>
        <w:ind w:firstLine="421" w:firstLineChars="0"/>
        <w:rPr>
          <w:rFonts w:asciiTheme="minorHAnsi" w:hAnsiTheme="minorHAnsi"/>
        </w:rPr>
      </w:pPr>
      <w:r>
        <w:rPr>
          <w:rFonts w:asciiTheme="minorHAnsi" w:hAnsiTheme="minorHAnsi"/>
        </w:rPr>
        <w:t>《医疗机构药学监护服务规范》</w:t>
      </w:r>
    </w:p>
    <w:p>
      <w:pPr>
        <w:pStyle w:val="24"/>
        <w:snapToGrid w:val="0"/>
        <w:spacing w:line="360" w:lineRule="auto"/>
        <w:ind w:firstLine="421" w:firstLineChars="0"/>
        <w:rPr>
          <w:rFonts w:asciiTheme="minorHAnsi" w:hAnsiTheme="minorHAnsi"/>
        </w:rPr>
      </w:pPr>
      <w:r>
        <w:rPr>
          <w:rFonts w:asciiTheme="minorHAnsi" w:hAnsiTheme="minorHAnsi"/>
        </w:rPr>
        <w:t>《上海市药事服务规范（试行）》</w:t>
      </w:r>
    </w:p>
    <w:p>
      <w:pPr>
        <w:snapToGrid w:val="0"/>
        <w:ind w:firstLine="420"/>
        <w:rPr>
          <w:rFonts w:eastAsia="宋体" w:cs="Times New Roman"/>
          <w:kern w:val="0"/>
          <w:szCs w:val="20"/>
        </w:rPr>
      </w:pPr>
      <w:r>
        <w:rPr>
          <w:rFonts w:eastAsia="宋体" w:cs="Times New Roman"/>
          <w:kern w:val="0"/>
          <w:szCs w:val="20"/>
        </w:rPr>
        <w:t>《电子病历应用管理规范》（试行）（国卫办医发〔2017〕8号）</w:t>
      </w:r>
    </w:p>
    <w:p>
      <w:pPr>
        <w:snapToGrid w:val="0"/>
        <w:ind w:firstLine="420"/>
        <w:rPr>
          <w:rFonts w:eastAsia="宋体" w:cs="Times New Roman"/>
          <w:kern w:val="0"/>
          <w:szCs w:val="20"/>
        </w:rPr>
      </w:pPr>
      <w:r>
        <w:rPr>
          <w:rFonts w:eastAsia="宋体" w:cs="Times New Roman"/>
          <w:kern w:val="0"/>
          <w:szCs w:val="20"/>
        </w:rPr>
        <w:t>《电子病历基本架构与数据标准》（试行）</w:t>
      </w:r>
    </w:p>
    <w:p>
      <w:pPr>
        <w:snapToGrid w:val="0"/>
        <w:ind w:firstLine="420"/>
        <w:rPr>
          <w:rFonts w:eastAsia="宋体" w:cs="Times New Roman"/>
          <w:color w:val="auto"/>
          <w:kern w:val="0"/>
          <w:szCs w:val="20"/>
        </w:rPr>
      </w:pPr>
      <w:r>
        <w:rPr>
          <w:rFonts w:hint="eastAsia" w:eastAsia="宋体" w:cs="Times New Roman"/>
          <w:color w:val="auto"/>
          <w:szCs w:val="21"/>
          <w:lang w:eastAsia="zh-CN"/>
        </w:rPr>
        <w:t>《</w:t>
      </w:r>
      <w:r>
        <w:rPr>
          <w:rFonts w:eastAsia="宋体" w:cs="Times New Roman"/>
          <w:color w:val="auto"/>
          <w:szCs w:val="21"/>
        </w:rPr>
        <w:t>电子病历共享文档规范</w:t>
      </w:r>
      <w:r>
        <w:rPr>
          <w:rFonts w:hint="eastAsia" w:eastAsia="宋体" w:cs="Times New Roman"/>
          <w:color w:val="auto"/>
          <w:szCs w:val="21"/>
          <w:lang w:eastAsia="zh-CN"/>
        </w:rPr>
        <w:t>》</w:t>
      </w:r>
      <w:r>
        <w:rPr>
          <w:rFonts w:eastAsia="宋体" w:cs="Times New Roman"/>
          <w:color w:val="auto"/>
          <w:szCs w:val="21"/>
        </w:rPr>
        <w:t>（WS/T 500-2016）</w:t>
      </w:r>
    </w:p>
    <w:p>
      <w:pPr>
        <w:pStyle w:val="24"/>
        <w:snapToGrid w:val="0"/>
        <w:spacing w:line="360" w:lineRule="auto"/>
        <w:ind w:firstLine="421" w:firstLineChars="0"/>
        <w:rPr>
          <w:rFonts w:asciiTheme="minorHAnsi" w:hAnsiTheme="minorHAnsi"/>
        </w:rPr>
      </w:pPr>
      <w:r>
        <w:rPr>
          <w:rFonts w:asciiTheme="minorHAnsi" w:hAnsiTheme="minorHAnsi"/>
        </w:rPr>
        <w:t>《病历书写基本规范》</w:t>
      </w:r>
    </w:p>
    <w:p>
      <w:pPr>
        <w:pStyle w:val="24"/>
        <w:snapToGrid w:val="0"/>
        <w:spacing w:line="360" w:lineRule="auto"/>
        <w:ind w:firstLine="421" w:firstLineChars="0"/>
        <w:rPr>
          <w:rFonts w:asciiTheme="minorHAnsi" w:hAnsiTheme="minorHAnsi"/>
        </w:rPr>
      </w:pPr>
      <w:r>
        <w:rPr>
          <w:rFonts w:asciiTheme="minorHAnsi" w:hAnsiTheme="minorHAnsi"/>
        </w:rPr>
        <w:t>《中医病历书写基本规范》</w:t>
      </w:r>
    </w:p>
    <w:p>
      <w:pPr>
        <w:snapToGrid w:val="0"/>
        <w:ind w:firstLine="420" w:firstLineChars="200"/>
        <w:rPr>
          <w:rFonts w:cs="Times New Roman"/>
        </w:rPr>
      </w:pPr>
      <w:bookmarkStart w:id="26" w:name="_Toc28469"/>
      <w:bookmarkStart w:id="27" w:name="_Toc510534530"/>
      <w:bookmarkStart w:id="28" w:name="_Toc509933851"/>
      <w:bookmarkStart w:id="29" w:name="_Toc436205037"/>
      <w:r>
        <w:rPr>
          <w:rFonts w:cs="Times New Roman"/>
        </w:rPr>
        <w:t>《医疗质量安全核心</w:t>
      </w:r>
      <w:r>
        <w:rPr>
          <w:rFonts w:hint="eastAsia" w:cs="Times New Roman"/>
        </w:rPr>
        <w:t>制度</w:t>
      </w:r>
      <w:r>
        <w:rPr>
          <w:rFonts w:cs="Times New Roman"/>
        </w:rPr>
        <w:t>要点》</w:t>
      </w:r>
    </w:p>
    <w:p>
      <w:pPr>
        <w:snapToGrid w:val="0"/>
        <w:ind w:firstLine="420" w:firstLineChars="200"/>
        <w:rPr>
          <w:rFonts w:cs="Times New Roman"/>
        </w:rPr>
      </w:pPr>
      <w:r>
        <w:rPr>
          <w:rFonts w:cs="Times New Roman"/>
        </w:rPr>
        <w:t>《药事管理医疗质量控制指标（2020年版）》</w:t>
      </w:r>
      <w:bookmarkEnd w:id="26"/>
    </w:p>
    <w:p>
      <w:pPr>
        <w:snapToGrid w:val="0"/>
        <w:rPr>
          <w:rFonts w:eastAsia="宋体" w:cs="Times New Roman"/>
          <w:kern w:val="0"/>
          <w:szCs w:val="20"/>
        </w:rPr>
      </w:pPr>
      <w:r>
        <w:rPr>
          <w:rFonts w:eastAsia="宋体" w:cs="Times New Roman"/>
          <w:kern w:val="0"/>
          <w:szCs w:val="20"/>
        </w:rPr>
        <w:t xml:space="preserve">    《三级医院评审标准（2020年版）》</w:t>
      </w:r>
    </w:p>
    <w:p>
      <w:pPr>
        <w:snapToGrid w:val="0"/>
        <w:ind w:firstLine="420"/>
        <w:rPr>
          <w:rFonts w:eastAsia="宋体" w:cs="Times New Roman"/>
          <w:kern w:val="0"/>
          <w:szCs w:val="20"/>
        </w:rPr>
      </w:pPr>
      <w:r>
        <w:rPr>
          <w:rFonts w:eastAsia="宋体" w:cs="Times New Roman"/>
          <w:kern w:val="0"/>
          <w:szCs w:val="20"/>
        </w:rPr>
        <w:t>《国家三级公立医院绩效考核操作手册》</w:t>
      </w:r>
    </w:p>
    <w:p>
      <w:pPr>
        <w:snapToGrid w:val="0"/>
        <w:ind w:firstLine="420"/>
        <w:rPr>
          <w:rFonts w:eastAsia="宋体" w:cs="Times New Roman"/>
          <w:kern w:val="0"/>
          <w:szCs w:val="20"/>
        </w:rPr>
      </w:pPr>
      <w:r>
        <w:rPr>
          <w:rFonts w:eastAsia="宋体" w:cs="Times New Roman"/>
          <w:kern w:val="0"/>
          <w:szCs w:val="20"/>
        </w:rPr>
        <w:t>《三级公立中医医院绩效考核指标》</w:t>
      </w:r>
    </w:p>
    <w:p>
      <w:pPr>
        <w:snapToGrid w:val="0"/>
        <w:ind w:firstLine="420"/>
        <w:rPr>
          <w:rFonts w:eastAsia="宋体" w:cs="Times New Roman"/>
          <w:kern w:val="0"/>
          <w:szCs w:val="20"/>
        </w:rPr>
      </w:pPr>
      <w:r>
        <w:rPr>
          <w:rFonts w:eastAsia="宋体" w:cs="Times New Roman"/>
          <w:kern w:val="0"/>
          <w:szCs w:val="20"/>
        </w:rPr>
        <w:t>《提高住院患者抗菌药物治疗前病原学送检率—专项行动指导意见发布》</w:t>
      </w:r>
    </w:p>
    <w:p>
      <w:pPr>
        <w:snapToGrid w:val="0"/>
        <w:ind w:firstLine="420"/>
        <w:rPr>
          <w:rFonts w:eastAsia="宋体" w:cs="Times New Roman"/>
          <w:kern w:val="0"/>
          <w:szCs w:val="20"/>
        </w:rPr>
      </w:pPr>
      <w:r>
        <w:rPr>
          <w:rFonts w:eastAsia="宋体" w:cs="Times New Roman"/>
          <w:kern w:val="0"/>
          <w:szCs w:val="20"/>
        </w:rPr>
        <w:t>《关于完善国家基本药物制度的意见》(国办发〔2018〕88号)</w:t>
      </w:r>
    </w:p>
    <w:p>
      <w:pPr>
        <w:snapToGrid w:val="0"/>
        <w:ind w:firstLine="420"/>
        <w:rPr>
          <w:rFonts w:eastAsia="宋体" w:cs="Times New Roman"/>
          <w:kern w:val="0"/>
          <w:szCs w:val="20"/>
        </w:rPr>
      </w:pPr>
      <w:r>
        <w:rPr>
          <w:rFonts w:eastAsia="宋体" w:cs="Times New Roman"/>
          <w:kern w:val="0"/>
          <w:szCs w:val="20"/>
        </w:rPr>
        <w:t>《住院患者药学监护技术规范》（T/HENANPA 001—20</w:t>
      </w:r>
      <w:r>
        <w:rPr>
          <w:rFonts w:hint="eastAsia" w:eastAsia="宋体" w:cs="Times New Roman"/>
          <w:kern w:val="0"/>
          <w:szCs w:val="20"/>
        </w:rPr>
        <w:t>2</w:t>
      </w:r>
      <w:r>
        <w:rPr>
          <w:rFonts w:eastAsia="宋体" w:cs="Times New Roman"/>
          <w:kern w:val="0"/>
          <w:szCs w:val="20"/>
        </w:rPr>
        <w:t>2）</w:t>
      </w:r>
    </w:p>
    <w:p>
      <w:pPr>
        <w:snapToGrid w:val="0"/>
        <w:ind w:firstLine="420"/>
        <w:rPr>
          <w:rFonts w:eastAsia="宋体" w:cs="Times New Roman"/>
          <w:kern w:val="0"/>
          <w:szCs w:val="20"/>
        </w:rPr>
      </w:pPr>
      <w:r>
        <w:rPr>
          <w:rFonts w:eastAsia="宋体" w:cs="Times New Roman"/>
          <w:kern w:val="0"/>
          <w:szCs w:val="20"/>
        </w:rPr>
        <w:t>《住院患者药历书写基本规范》（T/HENANPA 002—2022）</w:t>
      </w:r>
    </w:p>
    <w:p>
      <w:pPr>
        <w:bidi w:val="0"/>
        <w:jc w:val="center"/>
        <w:rPr>
          <w:rFonts w:asciiTheme="minorHAnsi" w:hAnsiTheme="minorHAnsi" w:eastAsiaTheme="minorEastAsia" w:cstheme="minorBidi"/>
          <w:kern w:val="2"/>
          <w:sz w:val="21"/>
          <w:szCs w:val="22"/>
          <w:lang w:val="en-US" w:eastAsia="zh-CN" w:bidi="ar-SA"/>
        </w:rPr>
      </w:pPr>
    </w:p>
    <w:p>
      <w:pPr>
        <w:pStyle w:val="3"/>
        <w:spacing w:before="200" w:after="200" w:line="360" w:lineRule="auto"/>
        <w:rPr>
          <w:rFonts w:cs="Times New Roman" w:asciiTheme="minorHAnsi" w:hAnsiTheme="minorHAnsi" w:eastAsiaTheme="minorEastAsia"/>
          <w:sz w:val="21"/>
          <w:szCs w:val="21"/>
        </w:rPr>
      </w:pPr>
      <w:bookmarkStart w:id="30" w:name="_Toc12430"/>
      <w:r>
        <w:rPr>
          <w:rFonts w:cs="Times New Roman" w:asciiTheme="minorHAnsi" w:hAnsiTheme="minorHAnsi" w:eastAsiaTheme="minorEastAsia"/>
          <w:sz w:val="21"/>
          <w:szCs w:val="21"/>
        </w:rPr>
        <w:t>3  术语和定义</w:t>
      </w:r>
      <w:bookmarkEnd w:id="27"/>
      <w:bookmarkEnd w:id="28"/>
      <w:bookmarkEnd w:id="29"/>
      <w:bookmarkEnd w:id="30"/>
    </w:p>
    <w:p>
      <w:pPr>
        <w:pStyle w:val="24"/>
        <w:spacing w:line="360" w:lineRule="auto"/>
        <w:ind w:firstLine="420"/>
        <w:rPr>
          <w:rFonts w:asciiTheme="minorHAnsi" w:hAnsiTheme="minorHAnsi"/>
        </w:rPr>
      </w:pPr>
      <w:r>
        <w:rPr>
          <w:rFonts w:asciiTheme="minorHAnsi" w:hAnsiTheme="minorHAnsi" w:eastAsiaTheme="minorEastAsia"/>
          <w:szCs w:val="21"/>
        </w:rPr>
        <w:t>下列术语和定义适用于本标准。</w:t>
      </w:r>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31" w:name="_Toc2002"/>
      <w:bookmarkStart w:id="32" w:name="_Toc3825"/>
      <w:bookmarkStart w:id="33" w:name="_Toc16997"/>
      <w:bookmarkStart w:id="34" w:name="_Toc89767229"/>
      <w:r>
        <w:rPr>
          <w:rFonts w:cs="Times New Roman"/>
          <w:b w:val="0"/>
          <w:bCs w:val="0"/>
          <w:color w:val="000000" w:themeColor="text1"/>
          <w:sz w:val="21"/>
          <w:szCs w:val="21"/>
          <w14:textFill>
            <w14:solidFill>
              <w14:schemeClr w14:val="tx1"/>
            </w14:solidFill>
          </w14:textFill>
        </w:rPr>
        <w:t>3.1药品 Drug</w:t>
      </w:r>
      <w:bookmarkEnd w:id="31"/>
      <w:bookmarkEnd w:id="32"/>
    </w:p>
    <w:p>
      <w:pPr>
        <w:snapToGrid w:val="0"/>
        <w:ind w:firstLine="420" w:firstLineChars="200"/>
        <w:rPr>
          <w:rFonts w:eastAsia="宋体" w:cs="Times New Roman"/>
          <w:color w:val="000000" w:themeColor="text1"/>
          <w:szCs w:val="21"/>
          <w14:textFill>
            <w14:solidFill>
              <w14:schemeClr w14:val="tx1"/>
            </w14:solidFill>
          </w14:textFill>
        </w:rPr>
      </w:pPr>
      <w:bookmarkStart w:id="35" w:name="_Toc5109"/>
      <w:r>
        <w:rPr>
          <w:rFonts w:eastAsia="宋体" w:cs="Times New Roman"/>
          <w:color w:val="000000" w:themeColor="text1"/>
          <w:szCs w:val="21"/>
          <w14:textFill>
            <w14:solidFill>
              <w14:schemeClr w14:val="tx1"/>
            </w14:solidFill>
          </w14:textFill>
        </w:rPr>
        <w:t>指用于预防、治疗、诊断人的疾病，有目的地调节人的生理机能并规定有适应症或者功能主治、用法和用量的物质，包括中药、化学药和生物制品等。</w:t>
      </w:r>
      <w:bookmarkEnd w:id="35"/>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36" w:name="_Toc22724"/>
      <w:bookmarkStart w:id="37" w:name="_Toc89767225"/>
      <w:bookmarkStart w:id="38" w:name="_Toc8889"/>
      <w:r>
        <w:rPr>
          <w:rFonts w:cs="Times New Roman"/>
          <w:b w:val="0"/>
          <w:bCs w:val="0"/>
          <w:color w:val="000000" w:themeColor="text1"/>
          <w:sz w:val="21"/>
          <w:szCs w:val="21"/>
          <w14:textFill>
            <w14:solidFill>
              <w14:schemeClr w14:val="tx1"/>
            </w14:solidFill>
          </w14:textFill>
        </w:rPr>
        <w:t>3.2临床药师 Clinical Pharmacist</w:t>
      </w:r>
      <w:bookmarkEnd w:id="36"/>
      <w:bookmarkEnd w:id="37"/>
      <w:bookmarkEnd w:id="38"/>
      <w:r>
        <w:rPr>
          <w:rFonts w:cs="Times New Roman"/>
          <w:b w:val="0"/>
          <w:bCs w:val="0"/>
          <w:color w:val="000000" w:themeColor="text1"/>
          <w:sz w:val="21"/>
          <w:szCs w:val="21"/>
          <w14:textFill>
            <w14:solidFill>
              <w14:schemeClr w14:val="tx1"/>
            </w14:solidFill>
          </w14:textFill>
        </w:rPr>
        <w:t xml:space="preserve"> </w:t>
      </w:r>
    </w:p>
    <w:p>
      <w:pPr>
        <w:snapToGrid w:val="0"/>
        <w:ind w:firstLine="420" w:firstLineChars="20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以系统药学专业知识为基础，并具有一定医学和相关专业基础知识与技能，直接参与临床用药，促进药物合理应用和保护患者用药安全的药学专业技术人员。</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39" w:name="_Toc89767226"/>
      <w:bookmarkStart w:id="40" w:name="_Toc5386"/>
      <w:bookmarkStart w:id="41" w:name="_Toc32728"/>
      <w:r>
        <w:rPr>
          <w:rFonts w:cs="Times New Roman"/>
          <w:b w:val="0"/>
          <w:bCs w:val="0"/>
          <w:color w:val="000000" w:themeColor="text1"/>
          <w:sz w:val="21"/>
          <w:szCs w:val="21"/>
          <w14:textFill>
            <w14:solidFill>
              <w14:schemeClr w14:val="tx1"/>
            </w14:solidFill>
          </w14:textFill>
        </w:rPr>
        <w:t>3</w:t>
      </w:r>
      <w:r>
        <w:rPr>
          <w:rFonts w:eastAsia="宋体" w:cs="Times New Roman"/>
          <w:b w:val="0"/>
          <w:bCs w:val="0"/>
          <w:color w:val="000000" w:themeColor="text1"/>
          <w:sz w:val="21"/>
          <w:szCs w:val="21"/>
          <w14:textFill>
            <w14:solidFill>
              <w14:schemeClr w14:val="tx1"/>
            </w14:solidFill>
          </w14:textFill>
        </w:rPr>
        <w:t>.3药学监护 Pharmaceutical Care</w:t>
      </w:r>
      <w:bookmarkEnd w:id="39"/>
      <w:bookmarkEnd w:id="40"/>
      <w:bookmarkEnd w:id="41"/>
      <w:r>
        <w:rPr>
          <w:rFonts w:eastAsia="宋体" w:cs="Times New Roman"/>
          <w:b w:val="0"/>
          <w:bCs w:val="0"/>
          <w:color w:val="000000" w:themeColor="text1"/>
          <w:sz w:val="21"/>
          <w:szCs w:val="21"/>
          <w14:textFill>
            <w14:solidFill>
              <w14:schemeClr w14:val="tx1"/>
            </w14:solidFill>
          </w14:textFill>
        </w:rPr>
        <w:t xml:space="preserve"> </w:t>
      </w:r>
    </w:p>
    <w:p>
      <w:pPr>
        <w:snapToGrid w:val="0"/>
        <w:ind w:firstLine="420" w:firstLineChars="200"/>
        <w:rPr>
          <w:rFonts w:eastAsia="宋体" w:cs="Times New Roman"/>
          <w:color w:val="000000" w:themeColor="text1"/>
          <w:szCs w:val="21"/>
          <w14:textFill>
            <w14:solidFill>
              <w14:schemeClr w14:val="tx1"/>
            </w14:solidFill>
          </w14:textFill>
        </w:rPr>
      </w:pPr>
      <w:bookmarkStart w:id="42" w:name="_Toc89767227"/>
      <w:bookmarkStart w:id="43" w:name="_Hlk41037530"/>
      <w:bookmarkStart w:id="44" w:name="_Hlk41314402"/>
      <w:r>
        <w:rPr>
          <w:rFonts w:eastAsia="宋体" w:cs="Times New Roman"/>
          <w:color w:val="000000" w:themeColor="text1"/>
          <w:szCs w:val="21"/>
          <w14:textFill>
            <w14:solidFill>
              <w14:schemeClr w14:val="tx1"/>
            </w14:solidFill>
          </w14:textFill>
        </w:rPr>
        <w:t>临床药师通过药学查房对患者进行药学评估，制定监护计划并根据监护结果与医师共同优化治疗方案的过程。</w:t>
      </w:r>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45" w:name="_Toc30950"/>
      <w:bookmarkStart w:id="46" w:name="_Toc9064"/>
      <w:r>
        <w:rPr>
          <w:rFonts w:cs="Times New Roman"/>
          <w:b w:val="0"/>
          <w:bCs w:val="0"/>
          <w:color w:val="000000" w:themeColor="text1"/>
          <w:sz w:val="21"/>
          <w:szCs w:val="21"/>
          <w14:textFill>
            <w14:solidFill>
              <w14:schemeClr w14:val="tx1"/>
            </w14:solidFill>
          </w14:textFill>
        </w:rPr>
        <w:t xml:space="preserve">3.4药学查房 Pharmaceutical Ward </w:t>
      </w:r>
      <w:bookmarkEnd w:id="42"/>
      <w:r>
        <w:rPr>
          <w:rFonts w:cs="Times New Roman"/>
          <w:b w:val="0"/>
          <w:bCs w:val="0"/>
          <w:color w:val="000000" w:themeColor="text1"/>
          <w:sz w:val="21"/>
          <w:szCs w:val="21"/>
          <w14:textFill>
            <w14:solidFill>
              <w14:schemeClr w14:val="tx1"/>
            </w14:solidFill>
          </w14:textFill>
        </w:rPr>
        <w:t>Round</w:t>
      </w:r>
      <w:bookmarkEnd w:id="45"/>
      <w:bookmarkEnd w:id="46"/>
    </w:p>
    <w:p>
      <w:pPr>
        <w:snapToGrid w:val="0"/>
        <w:ind w:firstLine="420" w:firstLineChars="20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以临床药师为主体，在病区内对患者开展以药学监护为目的的查房过程。包括药师独立查房和药师与医师、护士医疗团队的联合查房。</w:t>
      </w:r>
      <w:bookmarkEnd w:id="43"/>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47" w:name="_Toc4472"/>
      <w:r>
        <w:rPr>
          <w:rFonts w:cs="Times New Roman"/>
          <w:b w:val="0"/>
          <w:bCs w:val="0"/>
          <w:color w:val="000000" w:themeColor="text1"/>
          <w:sz w:val="21"/>
          <w:szCs w:val="21"/>
          <w14:textFill>
            <w14:solidFill>
              <w14:schemeClr w14:val="tx1"/>
            </w14:solidFill>
          </w14:textFill>
        </w:rPr>
        <w:t>3.5用药教育 Pharmaceutical Education</w:t>
      </w:r>
      <w:bookmarkEnd w:id="47"/>
    </w:p>
    <w:p>
      <w:pPr>
        <w:snapToGrid w:val="0"/>
        <w:ind w:firstLine="420" w:firstLineChars="20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对患者进行合理用药指导，为患者普及合理用药知识，目的是增强患者用药知识，预防药品不良反应的发生，提高患者用药依从性，降低用药错误的发生率。</w:t>
      </w:r>
    </w:p>
    <w:bookmarkEnd w:id="44"/>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48" w:name="_Toc30743"/>
      <w:bookmarkStart w:id="49" w:name="_Toc9631"/>
      <w:bookmarkStart w:id="50" w:name="_Toc4287"/>
      <w:bookmarkStart w:id="51" w:name="_Toc18413"/>
      <w:r>
        <w:rPr>
          <w:rFonts w:eastAsia="宋体" w:cs="Times New Roman"/>
          <w:b w:val="0"/>
          <w:bCs w:val="0"/>
          <w:color w:val="000000" w:themeColor="text1"/>
          <w:sz w:val="21"/>
          <w:szCs w:val="21"/>
          <w14:textFill>
            <w14:solidFill>
              <w14:schemeClr w14:val="tx1"/>
            </w14:solidFill>
          </w14:textFill>
        </w:rPr>
        <w:t>3.6</w:t>
      </w:r>
      <w:r>
        <w:rPr>
          <w:rFonts w:hint="eastAsia" w:eastAsia="宋体" w:cs="Times New Roman"/>
          <w:b w:val="0"/>
          <w:bCs w:val="0"/>
          <w:color w:val="000000" w:themeColor="text1"/>
          <w:sz w:val="21"/>
          <w:szCs w:val="21"/>
          <w14:textFill>
            <w14:solidFill>
              <w14:schemeClr w14:val="tx1"/>
            </w14:solidFill>
          </w14:textFill>
        </w:rPr>
        <w:t>入院</w:t>
      </w:r>
      <w:r>
        <w:rPr>
          <w:rFonts w:eastAsia="宋体" w:cs="Times New Roman"/>
          <w:b w:val="0"/>
          <w:bCs w:val="0"/>
          <w:color w:val="000000" w:themeColor="text1"/>
          <w:sz w:val="21"/>
          <w:szCs w:val="21"/>
          <w14:textFill>
            <w14:solidFill>
              <w14:schemeClr w14:val="tx1"/>
            </w14:solidFill>
          </w14:textFill>
        </w:rPr>
        <w:t>药学评估 Pharmaceutical Evaluation</w:t>
      </w:r>
      <w:bookmarkEnd w:id="48"/>
      <w:bookmarkEnd w:id="49"/>
      <w:r>
        <w:rPr>
          <w:rFonts w:hint="eastAsia" w:eastAsia="宋体" w:cs="Times New Roman"/>
          <w:b w:val="0"/>
          <w:bCs w:val="0"/>
          <w:color w:val="000000" w:themeColor="text1"/>
          <w:sz w:val="21"/>
          <w:szCs w:val="21"/>
          <w14:textFill>
            <w14:solidFill>
              <w14:schemeClr w14:val="tx1"/>
            </w14:solidFill>
          </w14:textFill>
        </w:rPr>
        <w:t xml:space="preserve"> At The Time Of Admission</w:t>
      </w:r>
      <w:bookmarkEnd w:id="50"/>
    </w:p>
    <w:p>
      <w:pPr>
        <w:snapToGrid w:val="0"/>
        <w:ind w:firstLine="420" w:firstLineChars="200"/>
        <w:rPr>
          <w:rFonts w:eastAsia="宋体" w:cs="Times New Roman"/>
          <w:color w:val="000000" w:themeColor="text1"/>
          <w:szCs w:val="21"/>
          <w14:textFill>
            <w14:solidFill>
              <w14:schemeClr w14:val="tx1"/>
            </w14:solidFill>
          </w14:textFill>
        </w:rPr>
      </w:pPr>
      <w:bookmarkStart w:id="52" w:name="_Toc14903"/>
      <w:bookmarkStart w:id="53" w:name="_Toc8219"/>
      <w:r>
        <w:rPr>
          <w:rFonts w:eastAsia="宋体" w:cs="Times New Roman"/>
          <w:color w:val="000000" w:themeColor="text1"/>
          <w:szCs w:val="21"/>
          <w14:textFill>
            <w14:solidFill>
              <w14:schemeClr w14:val="tx1"/>
            </w14:solidFill>
          </w14:textFill>
        </w:rPr>
        <w:t>临床药师通过查看病历和药学查房，对患者入院时的整体状况、用药依从性、生活方式和一般医药知识掌握情况进行评估，评估结果为药学监护计划制定</w:t>
      </w:r>
      <w:r>
        <w:rPr>
          <w:rFonts w:hint="eastAsia" w:eastAsia="宋体" w:cs="Times New Roman"/>
          <w:color w:val="000000" w:themeColor="text1"/>
          <w:szCs w:val="21"/>
          <w14:textFill>
            <w14:solidFill>
              <w14:schemeClr w14:val="tx1"/>
            </w14:solidFill>
          </w14:textFill>
        </w:rPr>
        <w:t>、</w:t>
      </w:r>
      <w:r>
        <w:rPr>
          <w:rFonts w:eastAsia="宋体" w:cs="Times New Roman"/>
          <w:color w:val="000000" w:themeColor="text1"/>
          <w:szCs w:val="21"/>
          <w14:textFill>
            <w14:solidFill>
              <w14:schemeClr w14:val="tx1"/>
            </w14:solidFill>
          </w14:textFill>
        </w:rPr>
        <w:t>患者用药效果评价和用药教育方案制定过程提供参考。</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54" w:name="_Toc14246"/>
      <w:r>
        <w:rPr>
          <w:rFonts w:eastAsia="宋体" w:cs="Times New Roman"/>
          <w:b w:val="0"/>
          <w:bCs w:val="0"/>
          <w:color w:val="000000" w:themeColor="text1"/>
          <w:sz w:val="21"/>
          <w:szCs w:val="21"/>
          <w14:textFill>
            <w14:solidFill>
              <w14:schemeClr w14:val="tx1"/>
            </w14:solidFill>
          </w14:textFill>
        </w:rPr>
        <w:t>3.7药学监护分级 Pharmaceutical Care Classification</w:t>
      </w:r>
      <w:bookmarkEnd w:id="52"/>
      <w:bookmarkEnd w:id="53"/>
      <w:bookmarkEnd w:id="54"/>
    </w:p>
    <w:p>
      <w:pPr>
        <w:ind w:firstLine="420" w:firstLineChars="200"/>
      </w:pPr>
      <w:r>
        <w:t>根据患者的病理生理情况和治疗情况对患者进行全面评价分级，为个体化监护计划的制定做准备。</w:t>
      </w:r>
    </w:p>
    <w:bookmarkEnd w:id="33"/>
    <w:bookmarkEnd w:id="34"/>
    <w:bookmarkEnd w:id="51"/>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55" w:name="_Toc30863"/>
      <w:bookmarkStart w:id="56" w:name="_Toc5549"/>
      <w:bookmarkStart w:id="57" w:name="_Toc22808"/>
      <w:r>
        <w:rPr>
          <w:rFonts w:eastAsia="宋体" w:cs="Times New Roman"/>
          <w:b w:val="0"/>
          <w:bCs w:val="0"/>
          <w:color w:val="000000" w:themeColor="text1"/>
          <w:sz w:val="21"/>
          <w:szCs w:val="21"/>
          <w14:textFill>
            <w14:solidFill>
              <w14:schemeClr w14:val="tx1"/>
            </w14:solidFill>
          </w14:textFill>
        </w:rPr>
        <w:t>3.8药学监护计划 Pharmaceutical Care Plan</w:t>
      </w:r>
      <w:bookmarkEnd w:id="55"/>
      <w:bookmarkEnd w:id="56"/>
    </w:p>
    <w:p>
      <w:pPr>
        <w:ind w:firstLine="420" w:firstLineChars="200"/>
      </w:pPr>
      <w:r>
        <w:t>临床药师在实施药学监护过程中，依据患者的症状、体征，辅助检查及治疗方案，从病情变化、合理用药情况、医保费用情况和其他药事管理指标变化情况等方面制定的个体化的药学监护重点，包括具体监护要点和监护频次。</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58" w:name="_Toc23312"/>
      <w:bookmarkStart w:id="59" w:name="_Toc144"/>
      <w:r>
        <w:rPr>
          <w:rFonts w:eastAsia="宋体" w:cs="Times New Roman"/>
          <w:b w:val="0"/>
          <w:bCs w:val="0"/>
          <w:color w:val="000000" w:themeColor="text1"/>
          <w:sz w:val="21"/>
          <w:szCs w:val="21"/>
          <w14:textFill>
            <w14:solidFill>
              <w14:schemeClr w14:val="tx1"/>
            </w14:solidFill>
          </w14:textFill>
        </w:rPr>
        <w:t>3.9药品不良反应 Adverse Drug Reaction</w:t>
      </w:r>
      <w:r>
        <w:rPr>
          <w:rFonts w:hint="eastAsia" w:eastAsia="宋体" w:cs="Times New Roman"/>
          <w:b w:val="0"/>
          <w:bCs w:val="0"/>
          <w:color w:val="000000" w:themeColor="text1"/>
          <w:sz w:val="21"/>
          <w:szCs w:val="21"/>
          <w:lang w:val="en-US" w:eastAsia="zh-CN"/>
          <w14:textFill>
            <w14:solidFill>
              <w14:schemeClr w14:val="tx1"/>
            </w14:solidFill>
          </w14:textFill>
        </w:rPr>
        <w:t>(</w:t>
      </w:r>
      <w:r>
        <w:rPr>
          <w:rFonts w:eastAsia="宋体" w:cs="Times New Roman"/>
          <w:b w:val="0"/>
          <w:bCs w:val="0"/>
          <w:color w:val="000000" w:themeColor="text1"/>
          <w:sz w:val="21"/>
          <w:szCs w:val="21"/>
          <w14:textFill>
            <w14:solidFill>
              <w14:schemeClr w14:val="tx1"/>
            </w14:solidFill>
          </w14:textFill>
        </w:rPr>
        <w:t>ADR</w:t>
      </w:r>
      <w:r>
        <w:rPr>
          <w:rFonts w:hint="eastAsia" w:eastAsia="宋体" w:cs="Times New Roman"/>
          <w:b w:val="0"/>
          <w:bCs w:val="0"/>
          <w:color w:val="000000" w:themeColor="text1"/>
          <w:sz w:val="21"/>
          <w:szCs w:val="21"/>
          <w:lang w:val="en-US" w:eastAsia="zh-CN"/>
          <w14:textFill>
            <w14:solidFill>
              <w14:schemeClr w14:val="tx1"/>
            </w14:solidFill>
          </w14:textFill>
        </w:rPr>
        <w:t>)</w:t>
      </w:r>
      <w:bookmarkEnd w:id="58"/>
      <w:bookmarkEnd w:id="59"/>
    </w:p>
    <w:p>
      <w:pPr>
        <w:ind w:firstLine="420" w:firstLineChars="200"/>
      </w:pPr>
      <w:r>
        <w:t>合格药品在正常用法用量下出现的与用药目的无关的有害反应。</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60" w:name="_Toc6110"/>
      <w:bookmarkStart w:id="61" w:name="_Toc31089"/>
      <w:r>
        <w:rPr>
          <w:rFonts w:eastAsia="宋体" w:cs="Times New Roman"/>
          <w:b w:val="0"/>
          <w:bCs w:val="0"/>
          <w:color w:val="000000" w:themeColor="text1"/>
          <w:sz w:val="21"/>
          <w:szCs w:val="21"/>
          <w14:textFill>
            <w14:solidFill>
              <w14:schemeClr w14:val="tx1"/>
            </w14:solidFill>
          </w14:textFill>
        </w:rPr>
        <w:t>3.10药品不良事件Adverse Drug Events</w:t>
      </w:r>
      <w:r>
        <w:rPr>
          <w:rFonts w:hint="eastAsia" w:eastAsia="宋体" w:cs="Times New Roman"/>
          <w:b w:val="0"/>
          <w:bCs w:val="0"/>
          <w:color w:val="000000" w:themeColor="text1"/>
          <w:sz w:val="21"/>
          <w:szCs w:val="21"/>
          <w:lang w:val="en-US" w:eastAsia="zh-CN"/>
          <w14:textFill>
            <w14:solidFill>
              <w14:schemeClr w14:val="tx1"/>
            </w14:solidFill>
          </w14:textFill>
        </w:rPr>
        <w:t>(</w:t>
      </w:r>
      <w:r>
        <w:rPr>
          <w:rFonts w:eastAsia="宋体" w:cs="Times New Roman"/>
          <w:b w:val="0"/>
          <w:bCs w:val="0"/>
          <w:color w:val="000000" w:themeColor="text1"/>
          <w:sz w:val="21"/>
          <w:szCs w:val="21"/>
          <w14:textFill>
            <w14:solidFill>
              <w14:schemeClr w14:val="tx1"/>
            </w14:solidFill>
          </w14:textFill>
        </w:rPr>
        <w:t>ADE</w:t>
      </w:r>
      <w:r>
        <w:rPr>
          <w:rFonts w:hint="eastAsia" w:eastAsia="宋体" w:cs="Times New Roman"/>
          <w:b w:val="0"/>
          <w:bCs w:val="0"/>
          <w:color w:val="000000" w:themeColor="text1"/>
          <w:sz w:val="21"/>
          <w:szCs w:val="21"/>
          <w:lang w:val="en-US" w:eastAsia="zh-CN"/>
          <w14:textFill>
            <w14:solidFill>
              <w14:schemeClr w14:val="tx1"/>
            </w14:solidFill>
          </w14:textFill>
        </w:rPr>
        <w:t>)</w:t>
      </w:r>
      <w:bookmarkEnd w:id="60"/>
      <w:bookmarkEnd w:id="61"/>
    </w:p>
    <w:p>
      <w:pPr>
        <w:ind w:firstLine="420" w:firstLineChars="200"/>
      </w:pPr>
      <w:r>
        <w:t>指药品治疗过程中出现的不利临床事件，但该事件未必与药物有因果关系。</w:t>
      </w:r>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62" w:name="_Toc18657"/>
      <w:r>
        <w:rPr>
          <w:rFonts w:cs="Times New Roman"/>
          <w:b w:val="0"/>
          <w:bCs w:val="0"/>
          <w:color w:val="000000" w:themeColor="text1"/>
          <w:sz w:val="21"/>
          <w:szCs w:val="21"/>
          <w14:textFill>
            <w14:solidFill>
              <w14:schemeClr w14:val="tx1"/>
            </w14:solidFill>
          </w14:textFill>
        </w:rPr>
        <w:t>3.11病历 Medical Record</w:t>
      </w:r>
      <w:bookmarkEnd w:id="62"/>
    </w:p>
    <w:p>
      <w:pPr>
        <w:snapToGrid w:val="0"/>
        <w:ind w:firstLine="420" w:firstLineChars="200"/>
        <w:rPr>
          <w:rFonts w:cs="Times New Roman"/>
          <w:b/>
          <w:bCs/>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是医务人员对患者疾病的发生、发展、转归，进行检查、诊断、治疗等医疗活动过程的记录。也是对采集到的资料加以归纳、整理、综合分析，按规定的格式和要求书写的患者医疗健康档案。</w:t>
      </w:r>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63" w:name="_Toc14409"/>
      <w:r>
        <w:rPr>
          <w:rFonts w:cs="Times New Roman"/>
          <w:b w:val="0"/>
          <w:bCs w:val="0"/>
          <w:color w:val="000000" w:themeColor="text1"/>
          <w:sz w:val="21"/>
          <w:szCs w:val="21"/>
          <w14:textFill>
            <w14:solidFill>
              <w14:schemeClr w14:val="tx1"/>
            </w14:solidFill>
          </w14:textFill>
        </w:rPr>
        <w:t>3.12电子病历 Electronic Medical Record(EMR)</w:t>
      </w:r>
      <w:bookmarkEnd w:id="63"/>
    </w:p>
    <w:p>
      <w:pPr>
        <w:snapToGrid w:val="0"/>
        <w:ind w:firstLine="420" w:firstLineChars="200"/>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也叫计算机化的病案系统或称基于计算机的病人记录（CPR,Computer-Based Patient Record）。它是用电子设备（计算机、健康卡等）保存、管理、传输和重现的数字化的医疗记录，用以取代手写纸张病历。它的内容包括纸张病历的所有信息。</w:t>
      </w:r>
    </w:p>
    <w:p>
      <w:pPr>
        <w:pStyle w:val="4"/>
        <w:snapToGrid w:val="0"/>
        <w:spacing w:before="0" w:after="0" w:line="360" w:lineRule="auto"/>
        <w:ind w:firstLine="420" w:firstLineChars="200"/>
        <w:rPr>
          <w:rFonts w:cs="Times New Roman"/>
          <w:b w:val="0"/>
          <w:bCs w:val="0"/>
          <w:color w:val="000000" w:themeColor="text1"/>
          <w:sz w:val="21"/>
          <w:szCs w:val="21"/>
          <w14:textFill>
            <w14:solidFill>
              <w14:schemeClr w14:val="tx1"/>
            </w14:solidFill>
          </w14:textFill>
        </w:rPr>
      </w:pPr>
      <w:bookmarkStart w:id="64" w:name="_Toc27927"/>
      <w:r>
        <w:rPr>
          <w:rFonts w:cs="Times New Roman"/>
          <w:b w:val="0"/>
          <w:bCs w:val="0"/>
          <w:color w:val="000000" w:themeColor="text1"/>
          <w:sz w:val="21"/>
          <w:szCs w:val="21"/>
          <w14:textFill>
            <w14:solidFill>
              <w14:schemeClr w14:val="tx1"/>
            </w14:solidFill>
          </w14:textFill>
        </w:rPr>
        <w:t>3.13护理记录 Nursing Record</w:t>
      </w:r>
      <w:bookmarkEnd w:id="64"/>
    </w:p>
    <w:p>
      <w:pPr>
        <w:snapToGrid w:val="0"/>
        <w:ind w:firstLine="420" w:firstLineChars="200"/>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护理记录是护士在护理活动中形成的文字、符号、图表等资料的总和，它记载了病人治疗护理的全过程，反映了病人病情的演变。</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65" w:name="_Toc12560"/>
      <w:r>
        <w:rPr>
          <w:rFonts w:cs="Times New Roman"/>
          <w:b w:val="0"/>
          <w:bCs w:val="0"/>
          <w:color w:val="000000" w:themeColor="text1"/>
          <w:sz w:val="21"/>
          <w:szCs w:val="21"/>
          <w14:textFill>
            <w14:solidFill>
              <w14:schemeClr w14:val="tx1"/>
            </w14:solidFill>
          </w14:textFill>
        </w:rPr>
        <w:t xml:space="preserve">3.14药历 </w:t>
      </w:r>
      <w:r>
        <w:rPr>
          <w:rFonts w:eastAsia="宋体" w:cs="Times New Roman"/>
          <w:b w:val="0"/>
          <w:bCs w:val="0"/>
          <w:color w:val="000000" w:themeColor="text1"/>
          <w:sz w:val="21"/>
          <w:szCs w:val="21"/>
          <w14:textFill>
            <w14:solidFill>
              <w14:schemeClr w14:val="tx1"/>
            </w14:solidFill>
          </w14:textFill>
        </w:rPr>
        <w:t>Pharmaceutical Record</w:t>
      </w:r>
      <w:bookmarkEnd w:id="65"/>
    </w:p>
    <w:p>
      <w:pPr>
        <w:snapToGrid w:val="0"/>
        <w:ind w:firstLine="420" w:firstLineChars="20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临床药师在药学监护过程中形成的文字、符号、图表等资料的总和，包括门（急）诊药历和住院药历。</w:t>
      </w:r>
    </w:p>
    <w:p>
      <w:pPr>
        <w:pStyle w:val="4"/>
        <w:snapToGrid w:val="0"/>
        <w:spacing w:before="0" w:after="0" w:line="360" w:lineRule="auto"/>
        <w:ind w:firstLine="420" w:firstLineChars="200"/>
        <w:rPr>
          <w:rFonts w:eastAsia="宋体" w:cs="Times New Roman"/>
          <w:b w:val="0"/>
          <w:bCs w:val="0"/>
          <w:color w:val="000000" w:themeColor="text1"/>
          <w:sz w:val="21"/>
          <w:szCs w:val="21"/>
          <w14:textFill>
            <w14:solidFill>
              <w14:schemeClr w14:val="tx1"/>
            </w14:solidFill>
          </w14:textFill>
        </w:rPr>
      </w:pPr>
      <w:bookmarkStart w:id="66" w:name="_Toc15273"/>
      <w:r>
        <w:rPr>
          <w:rFonts w:eastAsia="宋体" w:cs="Times New Roman"/>
          <w:b w:val="0"/>
          <w:bCs w:val="0"/>
          <w:color w:val="000000" w:themeColor="text1"/>
          <w:sz w:val="21"/>
          <w:szCs w:val="21"/>
          <w14:textFill>
            <w14:solidFill>
              <w14:schemeClr w14:val="tx1"/>
            </w14:solidFill>
          </w14:textFill>
        </w:rPr>
        <w:t>3.15电子药历 Electronic Pharmaceutical Record</w:t>
      </w:r>
      <w:bookmarkEnd w:id="66"/>
    </w:p>
    <w:p>
      <w:pPr>
        <w:snapToGrid w:val="0"/>
        <w:ind w:firstLine="420" w:firstLineChars="20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电子药历是临床药师在药学</w:t>
      </w:r>
      <w:r>
        <w:rPr>
          <w:rFonts w:hint="eastAsia" w:eastAsia="宋体" w:cs="Times New Roman"/>
          <w:color w:val="000000" w:themeColor="text1"/>
          <w:szCs w:val="21"/>
          <w14:textFill>
            <w14:solidFill>
              <w14:schemeClr w14:val="tx1"/>
            </w14:solidFill>
          </w14:textFill>
        </w:rPr>
        <w:t>监护</w:t>
      </w:r>
      <w:r>
        <w:rPr>
          <w:rFonts w:eastAsia="宋体" w:cs="Times New Roman"/>
          <w:color w:val="000000" w:themeColor="text1"/>
          <w:szCs w:val="21"/>
          <w14:textFill>
            <w14:solidFill>
              <w14:schemeClr w14:val="tx1"/>
            </w14:solidFill>
          </w14:textFill>
        </w:rPr>
        <w:t>过程中使用信息系统生成的文字、符号、图表、数字等数字化信息，并能实现存储、管理、传输和重现的药学服务记录，是药历的一种记录形式，包括门（急）诊药历和住院药历。</w:t>
      </w:r>
    </w:p>
    <w:p>
      <w:pPr>
        <w:pStyle w:val="4"/>
        <w:snapToGrid w:val="0"/>
        <w:spacing w:before="0" w:after="0" w:line="360" w:lineRule="auto"/>
        <w:ind w:firstLine="420"/>
        <w:rPr>
          <w:rFonts w:eastAsia="宋体" w:cs="Times New Roman"/>
          <w:b w:val="0"/>
          <w:bCs w:val="0"/>
          <w:color w:val="000000" w:themeColor="text1"/>
          <w:sz w:val="21"/>
          <w:szCs w:val="21"/>
          <w14:textFill>
            <w14:solidFill>
              <w14:schemeClr w14:val="tx1"/>
            </w14:solidFill>
          </w14:textFill>
        </w:rPr>
      </w:pPr>
      <w:bookmarkStart w:id="67" w:name="_Toc24384"/>
      <w:r>
        <w:rPr>
          <w:rFonts w:cs="Times New Roman"/>
          <w:b w:val="0"/>
          <w:bCs w:val="0"/>
          <w:color w:val="000000" w:themeColor="text1"/>
          <w:sz w:val="21"/>
          <w:szCs w:val="21"/>
          <w14:textFill>
            <w14:solidFill>
              <w14:schemeClr w14:val="tx1"/>
            </w14:solidFill>
          </w14:textFill>
        </w:rPr>
        <w:t xml:space="preserve">3.16医院信息系统 </w:t>
      </w:r>
      <w:r>
        <w:rPr>
          <w:rFonts w:eastAsia="宋体" w:cs="Times New Roman"/>
          <w:b w:val="0"/>
          <w:bCs w:val="0"/>
          <w:color w:val="000000" w:themeColor="text1"/>
          <w:sz w:val="21"/>
          <w:szCs w:val="21"/>
          <w14:textFill>
            <w14:solidFill>
              <w14:schemeClr w14:val="tx1"/>
            </w14:solidFill>
          </w14:textFill>
        </w:rPr>
        <w:t>Hospital Information System(HIS)</w:t>
      </w:r>
      <w:bookmarkEnd w:id="67"/>
    </w:p>
    <w:p>
      <w:pPr>
        <w:ind w:firstLine="42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医院信息系统是指利用计算机软硬件技术和网络通信技术等现代化手段，对医院及其所属各部门的人流、物流、财流进行综合管理，对在医疗活动各阶段产生的数据进行采集、存储、处理、提取、传输、汇总，加工形成各种信息，从而为医院的整体运行提供全面的自动化管理及各种服务的信息系统。</w:t>
      </w:r>
    </w:p>
    <w:p>
      <w:pPr>
        <w:pStyle w:val="4"/>
        <w:snapToGrid w:val="0"/>
        <w:spacing w:before="0" w:after="0" w:line="360" w:lineRule="auto"/>
        <w:ind w:firstLine="420"/>
        <w:rPr>
          <w:rFonts w:eastAsia="宋体" w:cs="Times New Roman"/>
          <w:b w:val="0"/>
          <w:bCs w:val="0"/>
          <w:color w:val="000000" w:themeColor="text1"/>
          <w:sz w:val="21"/>
          <w:szCs w:val="21"/>
          <w14:textFill>
            <w14:solidFill>
              <w14:schemeClr w14:val="tx1"/>
            </w14:solidFill>
          </w14:textFill>
        </w:rPr>
      </w:pPr>
      <w:bookmarkStart w:id="68" w:name="_Toc5510"/>
      <w:r>
        <w:rPr>
          <w:rFonts w:cs="Times New Roman"/>
          <w:b w:val="0"/>
          <w:bCs w:val="0"/>
          <w:color w:val="000000" w:themeColor="text1"/>
          <w:sz w:val="21"/>
          <w:szCs w:val="21"/>
          <w14:textFill>
            <w14:solidFill>
              <w14:schemeClr w14:val="tx1"/>
            </w14:solidFill>
          </w14:textFill>
        </w:rPr>
        <w:t xml:space="preserve">3.17住院医师工作站 </w:t>
      </w:r>
      <w:r>
        <w:rPr>
          <w:rFonts w:eastAsia="宋体" w:cs="Times New Roman"/>
          <w:b w:val="0"/>
          <w:bCs w:val="0"/>
          <w:color w:val="000000" w:themeColor="text1"/>
          <w:sz w:val="21"/>
          <w:szCs w:val="21"/>
          <w14:textFill>
            <w14:solidFill>
              <w14:schemeClr w14:val="tx1"/>
            </w14:solidFill>
          </w14:textFill>
        </w:rPr>
        <w:t>Resident Workstation</w:t>
      </w:r>
      <w:bookmarkEnd w:id="68"/>
    </w:p>
    <w:p>
      <w:pPr>
        <w:ind w:firstLine="42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住院医师工作站主要是为住院三级医师提供集住院病历书写、浏览、打印，医嘱管理，个人质控，查询统计于一体的综合型住院医师工作平台。</w:t>
      </w:r>
    </w:p>
    <w:p>
      <w:pPr>
        <w:pStyle w:val="4"/>
        <w:snapToGrid w:val="0"/>
        <w:spacing w:before="0" w:after="0" w:line="360" w:lineRule="auto"/>
        <w:ind w:firstLine="420"/>
        <w:rPr>
          <w:rFonts w:eastAsia="宋体" w:cs="Times New Roman"/>
          <w:b w:val="0"/>
          <w:bCs w:val="0"/>
          <w:color w:val="000000" w:themeColor="text1"/>
          <w:sz w:val="21"/>
          <w:szCs w:val="21"/>
          <w14:textFill>
            <w14:solidFill>
              <w14:schemeClr w14:val="tx1"/>
            </w14:solidFill>
          </w14:textFill>
        </w:rPr>
      </w:pPr>
      <w:bookmarkStart w:id="69" w:name="_Toc3583"/>
      <w:r>
        <w:rPr>
          <w:rFonts w:cs="Times New Roman"/>
          <w:b w:val="0"/>
          <w:bCs w:val="0"/>
          <w:color w:val="000000" w:themeColor="text1"/>
          <w:sz w:val="21"/>
          <w:szCs w:val="21"/>
          <w14:textFill>
            <w14:solidFill>
              <w14:schemeClr w14:val="tx1"/>
            </w14:solidFill>
          </w14:textFill>
        </w:rPr>
        <w:t xml:space="preserve">3.18住院临床药师工作站 </w:t>
      </w:r>
      <w:r>
        <w:rPr>
          <w:rFonts w:eastAsia="宋体" w:cs="Times New Roman"/>
          <w:b w:val="0"/>
          <w:bCs w:val="0"/>
          <w:color w:val="000000" w:themeColor="text1"/>
          <w:sz w:val="21"/>
          <w:szCs w:val="21"/>
          <w14:textFill>
            <w14:solidFill>
              <w14:schemeClr w14:val="tx1"/>
            </w14:solidFill>
          </w14:textFill>
        </w:rPr>
        <w:t>Inpatient Clinical Pharmacist Workstation</w:t>
      </w:r>
      <w:bookmarkEnd w:id="69"/>
    </w:p>
    <w:p>
      <w:pPr>
        <w:ind w:firstLine="420"/>
        <w:rPr>
          <w:rFonts w:eastAsia="宋体" w:cs="Times New Roman"/>
          <w:color w:val="000000" w:themeColor="text1"/>
          <w:szCs w:val="21"/>
          <w14:textFill>
            <w14:solidFill>
              <w14:schemeClr w14:val="tx1"/>
            </w14:solidFill>
          </w14:textFill>
        </w:rPr>
      </w:pPr>
      <w:r>
        <w:rPr>
          <w:rFonts w:eastAsia="宋体" w:cs="Times New Roman"/>
          <w:color w:val="000000" w:themeColor="text1"/>
          <w:szCs w:val="21"/>
          <w14:textFill>
            <w14:solidFill>
              <w14:schemeClr w14:val="tx1"/>
            </w14:solidFill>
          </w14:textFill>
        </w:rPr>
        <w:t>住院临床药师工作站是一个集住院患者药历书写、药学监护、会诊处理、患者基本情况查询、住院医嘱查询、住院病历查询、合理用药知识库等为一体的综合应用信息系统。</w:t>
      </w:r>
    </w:p>
    <w:p>
      <w:pPr>
        <w:pStyle w:val="4"/>
        <w:snapToGrid w:val="0"/>
        <w:spacing w:before="0" w:after="0" w:line="360" w:lineRule="auto"/>
        <w:ind w:firstLine="420"/>
        <w:rPr>
          <w:rFonts w:hint="default" w:cs="Times New Roman"/>
          <w:b w:val="0"/>
          <w:bCs w:val="0"/>
          <w:color w:val="000000" w:themeColor="text1"/>
          <w:sz w:val="21"/>
          <w:szCs w:val="21"/>
          <w:lang w:val="en-US" w:eastAsia="zh-CN"/>
          <w14:textFill>
            <w14:solidFill>
              <w14:schemeClr w14:val="tx1"/>
            </w14:solidFill>
          </w14:textFill>
        </w:rPr>
      </w:pPr>
      <w:bookmarkStart w:id="70" w:name="_Toc5992"/>
      <w:r>
        <w:rPr>
          <w:rFonts w:hint="eastAsia" w:cs="Times New Roman"/>
          <w:b w:val="0"/>
          <w:bCs w:val="0"/>
          <w:color w:val="000000" w:themeColor="text1"/>
          <w:sz w:val="21"/>
          <w:szCs w:val="21"/>
          <w:lang w:val="en-US" w:eastAsia="zh-CN"/>
          <w14:textFill>
            <w14:solidFill>
              <w14:schemeClr w14:val="tx1"/>
            </w14:solidFill>
          </w14:textFill>
        </w:rPr>
        <w:t>3.19 实验室信息管理系统 Laboratory Information Management System(LIS)</w:t>
      </w:r>
      <w:bookmarkEnd w:id="70"/>
    </w:p>
    <w:p>
      <w:pPr>
        <w:ind w:firstLine="420"/>
        <w:rPr>
          <w:rFonts w:hint="eastAsia" w:eastAsia="宋体" w:cs="Times New Roman"/>
          <w:color w:val="000000" w:themeColor="text1"/>
          <w:szCs w:val="21"/>
          <w:lang w:val="en-US" w:eastAsia="zh-CN"/>
          <w14:textFill>
            <w14:solidFill>
              <w14:schemeClr w14:val="tx1"/>
            </w14:solidFill>
          </w14:textFill>
        </w:rPr>
      </w:pPr>
      <w:r>
        <w:rPr>
          <w:rFonts w:hint="eastAsia" w:eastAsia="宋体" w:cs="Times New Roman"/>
          <w:color w:val="000000" w:themeColor="text1"/>
          <w:szCs w:val="21"/>
          <w:lang w:val="en-US" w:eastAsia="zh-CN"/>
          <w14:textFill>
            <w14:solidFill>
              <w14:schemeClr w14:val="tx1"/>
            </w14:solidFill>
          </w14:textFill>
        </w:rPr>
        <w:t>是专为医院检验科设计的一套实验室信息管理系统，能将实验仪器与计算机组成网络，使病人样品登录、实验数据存取、报告审核、打印分发，实验数据统计分析等繁杂的操作过程实现了智能化、自动化和规范化管理。有助于提高实验室的整体管理水平，减少漏洞，提高检验质量。</w:t>
      </w:r>
    </w:p>
    <w:p>
      <w:pPr>
        <w:ind w:firstLine="420"/>
        <w:rPr>
          <w:rFonts w:hint="eastAsia" w:cs="Times New Roman"/>
          <w:b w:val="0"/>
          <w:bCs w:val="0"/>
          <w:color w:val="000000" w:themeColor="text1"/>
          <w:sz w:val="21"/>
          <w:szCs w:val="21"/>
          <w:lang w:val="en-US" w:eastAsia="zh-CN"/>
          <w14:textFill>
            <w14:solidFill>
              <w14:schemeClr w14:val="tx1"/>
            </w14:solidFill>
          </w14:textFill>
        </w:rPr>
      </w:pPr>
      <w:r>
        <w:rPr>
          <w:rFonts w:hint="eastAsia" w:cs="Times New Roman" w:asciiTheme="minorHAnsi" w:hAnsiTheme="minorHAnsi" w:eastAsiaTheme="minorEastAsia"/>
          <w:b w:val="0"/>
          <w:bCs w:val="0"/>
          <w:color w:val="000000" w:themeColor="text1"/>
          <w:kern w:val="2"/>
          <w:sz w:val="21"/>
          <w:szCs w:val="21"/>
          <w:lang w:val="en-US" w:eastAsia="zh-CN" w:bidi="ar-SA"/>
          <w14:textFill>
            <w14:solidFill>
              <w14:schemeClr w14:val="tx1"/>
            </w14:solidFill>
          </w14:textFill>
        </w:rPr>
        <w:t>3.20 影像归档和通信系统</w:t>
      </w:r>
      <w:r>
        <w:rPr>
          <w:rFonts w:hint="eastAsia" w:cs="Times New Roman"/>
          <w:b w:val="0"/>
          <w:bCs w:val="0"/>
          <w:color w:val="000000" w:themeColor="text1"/>
          <w:sz w:val="21"/>
          <w:szCs w:val="21"/>
          <w:lang w:val="en-US" w:eastAsia="zh-CN"/>
          <w14:textFill>
            <w14:solidFill>
              <w14:schemeClr w14:val="tx1"/>
            </w14:solidFill>
          </w14:textFill>
        </w:rPr>
        <w:t xml:space="preserve"> Picture Archiving and Communication System(PACS)</w:t>
      </w:r>
    </w:p>
    <w:p>
      <w:pPr>
        <w:ind w:firstLine="420"/>
        <w:rPr>
          <w:rFonts w:hint="default" w:cs="Times New Roman"/>
          <w:b w:val="0"/>
          <w:bCs w:val="0"/>
          <w:color w:val="000000" w:themeColor="text1"/>
          <w:sz w:val="21"/>
          <w:szCs w:val="21"/>
          <w:lang w:val="en-US" w:eastAsia="zh-CN"/>
          <w14:textFill>
            <w14:solidFill>
              <w14:schemeClr w14:val="tx1"/>
            </w14:solidFill>
          </w14:textFill>
        </w:rPr>
      </w:pPr>
      <w:r>
        <w:rPr>
          <w:rFonts w:hint="default" w:cs="Times New Roman"/>
          <w:b w:val="0"/>
          <w:bCs w:val="0"/>
          <w:color w:val="000000" w:themeColor="text1"/>
          <w:sz w:val="21"/>
          <w:szCs w:val="21"/>
          <w:lang w:val="en-US" w:eastAsia="zh-CN"/>
          <w14:textFill>
            <w14:solidFill>
              <w14:schemeClr w14:val="tx1"/>
            </w14:solidFill>
          </w14:textFill>
        </w:rPr>
        <w:t>是应用在医院影像科室的系统，主要的任务就是把日常产生的各种医学影像（包括核磁，CT，超声，各种X光机，各种红外仪、显微仪等设备产生的图像）通过各种接口以数字化的方式海量保存起来，当需要的时候在一定的授权下能够很快的调回使用，同时增加一些辅助诊断管理功能。</w:t>
      </w:r>
    </w:p>
    <w:p>
      <w:pPr>
        <w:pStyle w:val="4"/>
        <w:snapToGrid w:val="0"/>
        <w:spacing w:before="0" w:after="0" w:line="360" w:lineRule="auto"/>
        <w:ind w:firstLine="420"/>
        <w:rPr>
          <w:rFonts w:hint="eastAsia" w:cs="Times New Roman"/>
          <w:b w:val="0"/>
          <w:bCs w:val="0"/>
          <w:color w:val="000000" w:themeColor="text1"/>
          <w:sz w:val="21"/>
          <w:szCs w:val="21"/>
          <w:lang w:val="en-US" w:eastAsia="zh-CN"/>
          <w14:textFill>
            <w14:solidFill>
              <w14:schemeClr w14:val="tx1"/>
            </w14:solidFill>
          </w14:textFill>
        </w:rPr>
      </w:pPr>
      <w:bookmarkStart w:id="71" w:name="_Toc5281"/>
      <w:r>
        <w:rPr>
          <w:rFonts w:hint="eastAsia" w:cs="Times New Roman"/>
          <w:b w:val="0"/>
          <w:bCs w:val="0"/>
          <w:color w:val="000000" w:themeColor="text1"/>
          <w:sz w:val="21"/>
          <w:szCs w:val="21"/>
          <w:lang w:val="en-US" w:eastAsia="zh-CN"/>
          <w14:textFill>
            <w14:solidFill>
              <w14:schemeClr w14:val="tx1"/>
            </w14:solidFill>
          </w14:textFill>
        </w:rPr>
        <w:t>3.21合理用药监测系统</w:t>
      </w:r>
      <w:r>
        <w:rPr>
          <w:rFonts w:cs="Times New Roman"/>
          <w:b w:val="0"/>
          <w:bCs w:val="0"/>
          <w:color w:val="000000" w:themeColor="text1"/>
          <w:sz w:val="21"/>
          <w:szCs w:val="21"/>
          <w:lang w:val="en-US" w:eastAsia="zh-CN"/>
          <w14:textFill>
            <w14:solidFill>
              <w14:schemeClr w14:val="tx1"/>
            </w14:solidFill>
          </w14:textFill>
        </w:rPr>
        <w:t>Prescription Automatic Screening System</w:t>
      </w:r>
      <w:r>
        <w:rPr>
          <w:rFonts w:hint="eastAsia" w:cs="Times New Roman"/>
          <w:b w:val="0"/>
          <w:bCs w:val="0"/>
          <w:color w:val="000000" w:themeColor="text1"/>
          <w:sz w:val="21"/>
          <w:szCs w:val="21"/>
          <w:lang w:val="en-US" w:eastAsia="zh-CN"/>
          <w14:textFill>
            <w14:solidFill>
              <w14:schemeClr w14:val="tx1"/>
            </w14:solidFill>
          </w14:textFill>
        </w:rPr>
        <w:t>(PASS)</w:t>
      </w:r>
      <w:bookmarkEnd w:id="71"/>
    </w:p>
    <w:p>
      <w:pPr>
        <w:ind w:firstLine="420"/>
        <w:rPr>
          <w:rFonts w:hint="eastAsia" w:eastAsia="宋体" w:cs="Times New Roman"/>
          <w:color w:val="000000" w:themeColor="text1"/>
          <w:szCs w:val="21"/>
          <w:lang w:val="en-US" w:eastAsia="zh-CN"/>
          <w14:textFill>
            <w14:solidFill>
              <w14:schemeClr w14:val="tx1"/>
            </w14:solidFill>
          </w14:textFill>
        </w:rPr>
      </w:pPr>
      <w:r>
        <w:rPr>
          <w:rFonts w:hint="eastAsia" w:eastAsia="宋体" w:cs="Times New Roman"/>
          <w:color w:val="000000" w:themeColor="text1"/>
          <w:szCs w:val="21"/>
          <w:lang w:val="en-US" w:eastAsia="zh-CN"/>
          <w14:textFill>
            <w14:solidFill>
              <w14:schemeClr w14:val="tx1"/>
            </w14:solidFill>
          </w14:textFill>
        </w:rPr>
        <w:t>合理用药监测系统是根据临床合理用药专业工作的基本特点和要求，运用信息技术对科学、权威和不断涌现的医药学及其相关学科知识进行标准结构化处理，可实现医嘱自动审查和医药信息在线查询，及时发现潜在的不合理用药问题，帮助医生、药师等临床专业人员在用药过程中及时有效地掌握和利用医药知识，预防药物不良事件的发生、促进临床合理用药工作的数据库应用系统。</w:t>
      </w:r>
    </w:p>
    <w:p>
      <w:pPr>
        <w:pStyle w:val="4"/>
        <w:snapToGrid w:val="0"/>
        <w:spacing w:before="0" w:after="0" w:line="360" w:lineRule="auto"/>
        <w:ind w:firstLine="420"/>
        <w:rPr>
          <w:rFonts w:hint="eastAsia" w:cs="Times New Roman"/>
          <w:b w:val="0"/>
          <w:bCs w:val="0"/>
          <w:color w:val="000000" w:themeColor="text1"/>
          <w:sz w:val="21"/>
          <w:szCs w:val="21"/>
          <w:lang w:val="en-US" w:eastAsia="zh-CN"/>
          <w14:textFill>
            <w14:solidFill>
              <w14:schemeClr w14:val="tx1"/>
            </w14:solidFill>
          </w14:textFill>
        </w:rPr>
      </w:pPr>
      <w:bookmarkStart w:id="72" w:name="_Toc15048"/>
      <w:r>
        <w:rPr>
          <w:rFonts w:hint="eastAsia" w:cs="Times New Roman"/>
          <w:b w:val="0"/>
          <w:bCs w:val="0"/>
          <w:color w:val="000000" w:themeColor="text1"/>
          <w:sz w:val="21"/>
          <w:szCs w:val="21"/>
          <w:lang w:val="en-US" w:eastAsia="zh-CN"/>
          <w14:textFill>
            <w14:solidFill>
              <w14:schemeClr w14:val="tx1"/>
            </w14:solidFill>
          </w14:textFill>
        </w:rPr>
        <w:t xml:space="preserve">3.22 </w:t>
      </w:r>
      <w:r>
        <w:rPr>
          <w:rFonts w:hint="default" w:cs="Times New Roman"/>
          <w:b w:val="0"/>
          <w:bCs w:val="0"/>
          <w:color w:val="000000" w:themeColor="text1"/>
          <w:sz w:val="21"/>
          <w:szCs w:val="21"/>
          <w:lang w:val="en-US" w:eastAsia="zh-CN"/>
          <w14:textFill>
            <w14:solidFill>
              <w14:schemeClr w14:val="tx1"/>
            </w14:solidFill>
          </w14:textFill>
        </w:rPr>
        <w:t>静脉用药集中调配中心Pharmacy Intravenous Admixture Services</w:t>
      </w:r>
      <w:r>
        <w:rPr>
          <w:rFonts w:hint="eastAsia" w:cs="Times New Roman"/>
          <w:b w:val="0"/>
          <w:bCs w:val="0"/>
          <w:color w:val="000000" w:themeColor="text1"/>
          <w:sz w:val="21"/>
          <w:szCs w:val="21"/>
          <w:lang w:val="en-US" w:eastAsia="zh-CN"/>
          <w14:textFill>
            <w14:solidFill>
              <w14:schemeClr w14:val="tx1"/>
            </w14:solidFill>
          </w14:textFill>
        </w:rPr>
        <w:t>(PIVAS)</w:t>
      </w:r>
      <w:bookmarkEnd w:id="72"/>
    </w:p>
    <w:p>
      <w:pPr>
        <w:ind w:firstLine="420"/>
        <w:rPr>
          <w:rFonts w:hint="default" w:eastAsia="宋体" w:cs="Times New Roman"/>
          <w:color w:val="000000" w:themeColor="text1"/>
          <w:szCs w:val="21"/>
          <w:lang w:val="en-US" w:eastAsia="zh-CN"/>
          <w14:textFill>
            <w14:solidFill>
              <w14:schemeClr w14:val="tx1"/>
            </w14:solidFill>
          </w14:textFill>
        </w:rPr>
      </w:pPr>
      <w:r>
        <w:rPr>
          <w:rFonts w:hint="default" w:eastAsia="宋体" w:cs="Times New Roman"/>
          <w:color w:val="000000" w:themeColor="text1"/>
          <w:szCs w:val="21"/>
          <w:lang w:val="en-US" w:eastAsia="zh-CN"/>
          <w14:textFill>
            <w14:solidFill>
              <w14:schemeClr w14:val="tx1"/>
            </w14:solidFill>
          </w14:textFill>
        </w:rPr>
        <w:t>静脉用药集中调配中心是指在符合国际标准、依据药物特性设计的操作环境下，经过药师审核的处方由受过专门培训的药学技术人员严格按照标准操作程序进行全静脉营养、细胞毒性药物和抗生素等静脉药物的混合调配，为临床提供优质的产品和药学服务的机构。</w:t>
      </w:r>
    </w:p>
    <w:bookmarkEnd w:id="57"/>
    <w:p>
      <w:pPr>
        <w:pStyle w:val="3"/>
        <w:spacing w:before="200" w:after="200" w:line="360" w:lineRule="auto"/>
        <w:rPr>
          <w:rFonts w:cs="Times New Roman" w:asciiTheme="minorHAnsi" w:hAnsiTheme="minorHAnsi" w:eastAsiaTheme="minorEastAsia"/>
          <w:sz w:val="21"/>
          <w:szCs w:val="21"/>
        </w:rPr>
      </w:pPr>
      <w:bookmarkStart w:id="73" w:name="_Toc28749"/>
      <w:r>
        <w:rPr>
          <w:rFonts w:cs="Times New Roman" w:asciiTheme="minorHAnsi" w:hAnsiTheme="minorHAnsi" w:eastAsiaTheme="minorEastAsia"/>
          <w:sz w:val="21"/>
          <w:szCs w:val="21"/>
        </w:rPr>
        <w:t>4  电子药历的基本要求</w:t>
      </w:r>
      <w:bookmarkEnd w:id="73"/>
    </w:p>
    <w:p>
      <w:pPr>
        <w:ind w:firstLine="420"/>
        <w:rPr>
          <w:rFonts w:eastAsia="宋体" w:cs="Times New Roman"/>
          <w:color w:val="000000"/>
          <w:szCs w:val="21"/>
        </w:rPr>
      </w:pPr>
      <w:r>
        <w:rPr>
          <w:rFonts w:eastAsia="宋体" w:cs="Times New Roman"/>
          <w:color w:val="000000"/>
          <w:szCs w:val="21"/>
        </w:rPr>
        <w:t>4.1电子药历参照电子病历的时序三维概念模型，以</w:t>
      </w:r>
      <w:r>
        <w:rPr>
          <w:rFonts w:hint="eastAsia" w:eastAsia="宋体" w:cs="Times New Roman"/>
          <w:color w:val="000000"/>
          <w:szCs w:val="21"/>
        </w:rPr>
        <w:t>患者</w:t>
      </w:r>
      <w:r>
        <w:rPr>
          <w:rFonts w:eastAsia="宋体" w:cs="Times New Roman"/>
          <w:color w:val="000000"/>
          <w:szCs w:val="21"/>
        </w:rPr>
        <w:t>个人为主线，将</w:t>
      </w:r>
      <w:r>
        <w:rPr>
          <w:rFonts w:hint="eastAsia" w:eastAsia="宋体" w:cs="Times New Roman"/>
          <w:color w:val="000000"/>
          <w:szCs w:val="21"/>
        </w:rPr>
        <w:t>患者</w:t>
      </w:r>
      <w:r>
        <w:rPr>
          <w:rFonts w:eastAsia="宋体" w:cs="Times New Roman"/>
          <w:color w:val="000000"/>
          <w:szCs w:val="21"/>
        </w:rPr>
        <w:t>个人在医疗机构中的历次就诊时间、疾病或健康问题、所接受的药物治疗服务及所记录的相关信息有机地关联起来，使之系统化、条理化和结构化。理论上一份完整的电子药历是由人的整个生命过程中，在医疗机构历次就诊所产生和被记录的所有与药物治疗相关的信息数据集构成。</w:t>
      </w:r>
    </w:p>
    <w:p>
      <w:pPr>
        <w:ind w:firstLine="420"/>
        <w:rPr>
          <w:rFonts w:eastAsia="宋体" w:cs="Times New Roman"/>
          <w:color w:val="000000"/>
          <w:szCs w:val="21"/>
        </w:rPr>
      </w:pPr>
      <w:r>
        <w:rPr>
          <w:rFonts w:eastAsia="宋体" w:cs="Times New Roman"/>
          <w:color w:val="000000"/>
          <w:szCs w:val="21"/>
        </w:rPr>
        <w:t>4.2电子药历的设计应兼顾功能性和实用性，其功能应用既支持传统计算机工作站，又支持基于移动端如平板电脑或手机的移动药师查房应用。在数据交换层面，电子药历系统与医院现有的HIS、LIS、PACS</w:t>
      </w:r>
      <w:r>
        <w:rPr>
          <w:rFonts w:hint="eastAsia" w:eastAsia="宋体" w:cs="Times New Roman"/>
          <w:color w:val="000000"/>
          <w:szCs w:val="21"/>
        </w:rPr>
        <w:t>、PASS及PIVAS</w:t>
      </w:r>
      <w:r>
        <w:rPr>
          <w:rFonts w:eastAsia="宋体" w:cs="Times New Roman"/>
          <w:color w:val="000000"/>
          <w:szCs w:val="21"/>
        </w:rPr>
        <w:t>等业务系统能进行无缝集成。</w:t>
      </w:r>
    </w:p>
    <w:p>
      <w:pPr>
        <w:adjustRightInd w:val="0"/>
        <w:snapToGrid w:val="0"/>
        <w:ind w:firstLine="413" w:firstLineChars="197"/>
        <w:rPr>
          <w:rFonts w:eastAsia="宋体" w:cs="Times New Roman"/>
          <w:color w:val="000000"/>
          <w:szCs w:val="21"/>
        </w:rPr>
      </w:pPr>
      <w:r>
        <w:rPr>
          <w:rFonts w:eastAsia="宋体" w:cs="Times New Roman"/>
          <w:color w:val="000000"/>
          <w:szCs w:val="21"/>
        </w:rPr>
        <w:t>4.3电子药历应充分考虑到临床药师的药学服务场景，在充分集成临床业务系统结构化数据的同时，最大限度方便药师录入信息，提高电子药历的使用效率。</w:t>
      </w:r>
    </w:p>
    <w:p>
      <w:pPr>
        <w:adjustRightInd w:val="0"/>
        <w:snapToGrid w:val="0"/>
        <w:ind w:firstLine="413" w:firstLineChars="197"/>
        <w:rPr>
          <w:rFonts w:eastAsia="宋体" w:cs="Times New Roman"/>
          <w:color w:val="000000"/>
          <w:szCs w:val="21"/>
        </w:rPr>
      </w:pPr>
      <w:r>
        <w:rPr>
          <w:rFonts w:eastAsia="宋体" w:cs="Times New Roman"/>
          <w:color w:val="000000"/>
          <w:szCs w:val="21"/>
        </w:rPr>
        <w:t>4.4 电子药历使用的术语、编码、模板和数据应当符合相关行业标准和规范的要求，在保障信息安全的前提下，促进电子药历信息有效共享。</w:t>
      </w:r>
    </w:p>
    <w:p>
      <w:pPr>
        <w:adjustRightInd w:val="0"/>
        <w:snapToGrid w:val="0"/>
        <w:ind w:firstLine="413" w:firstLineChars="197"/>
        <w:rPr>
          <w:rFonts w:eastAsia="宋体" w:cs="Times New Roman"/>
          <w:color w:val="000000"/>
          <w:szCs w:val="21"/>
        </w:rPr>
      </w:pPr>
      <w:r>
        <w:rPr>
          <w:rFonts w:eastAsia="宋体" w:cs="Times New Roman"/>
          <w:color w:val="000000"/>
          <w:szCs w:val="21"/>
        </w:rPr>
        <w:t xml:space="preserve">4.5 电子药历应当设置归档状态，医疗机构应当参照病历管理相关规定，在患者出院后，适时将电子药历转为归档状态。电子药历归档后原则上不得修改，特殊情况下确需修改的，经医疗机构药学部门批准后进行修改并保留修改痕迹。 </w:t>
      </w:r>
    </w:p>
    <w:p>
      <w:pPr>
        <w:adjustRightInd w:val="0"/>
        <w:snapToGrid w:val="0"/>
        <w:ind w:firstLine="413" w:firstLineChars="197"/>
        <w:rPr>
          <w:rFonts w:eastAsia="宋体" w:cs="Times New Roman"/>
          <w:color w:val="000000"/>
          <w:szCs w:val="21"/>
        </w:rPr>
      </w:pPr>
      <w:r>
        <w:rPr>
          <w:rFonts w:eastAsia="宋体" w:cs="Times New Roman"/>
          <w:color w:val="000000"/>
          <w:szCs w:val="21"/>
        </w:rPr>
        <w:t>4.6电子药历的查阅、管理、统计、打印等功能可在临床药师工作站中完成。</w:t>
      </w:r>
    </w:p>
    <w:p>
      <w:pPr>
        <w:pStyle w:val="3"/>
        <w:spacing w:before="200" w:after="200" w:line="360" w:lineRule="auto"/>
        <w:rPr>
          <w:rFonts w:cs="Times New Roman" w:asciiTheme="minorHAnsi" w:hAnsiTheme="minorHAnsi" w:eastAsiaTheme="minorEastAsia"/>
          <w:sz w:val="21"/>
          <w:szCs w:val="21"/>
        </w:rPr>
      </w:pPr>
      <w:bookmarkStart w:id="74" w:name="_Toc4990"/>
      <w:r>
        <w:rPr>
          <w:rFonts w:cs="Times New Roman" w:asciiTheme="minorHAnsi" w:hAnsiTheme="minorHAnsi" w:eastAsiaTheme="minorEastAsia"/>
          <w:sz w:val="21"/>
          <w:szCs w:val="21"/>
        </w:rPr>
        <w:t>5  电子药历的数据结构与信息模型</w:t>
      </w:r>
      <w:bookmarkEnd w:id="74"/>
    </w:p>
    <w:p>
      <w:pPr>
        <w:ind w:firstLine="413" w:firstLineChars="197"/>
        <w:rPr>
          <w:rFonts w:eastAsia="宋体" w:cs="Times New Roman"/>
          <w:color w:val="000000"/>
          <w:szCs w:val="21"/>
        </w:rPr>
      </w:pPr>
      <w:r>
        <w:rPr>
          <w:rFonts w:eastAsia="宋体" w:cs="Times New Roman"/>
          <w:color w:val="000000"/>
          <w:szCs w:val="21"/>
        </w:rPr>
        <w:t>现阶段电子药历并未有相关标准或规范，其数据结构与信息模型参照电子病历的相关要求设置。</w:t>
      </w:r>
    </w:p>
    <w:p>
      <w:pPr>
        <w:pStyle w:val="4"/>
        <w:rPr>
          <w:rFonts w:cstheme="minorHAnsi"/>
          <w:b w:val="0"/>
          <w:bCs w:val="0"/>
          <w:sz w:val="21"/>
          <w:szCs w:val="21"/>
        </w:rPr>
      </w:pPr>
      <w:bookmarkStart w:id="75" w:name="_Toc27552"/>
      <w:r>
        <w:rPr>
          <w:rFonts w:cstheme="minorHAnsi"/>
          <w:b w:val="0"/>
          <w:bCs w:val="0"/>
          <w:sz w:val="21"/>
          <w:szCs w:val="21"/>
        </w:rPr>
        <w:t>5.1电子药历数据结构</w:t>
      </w:r>
      <w:bookmarkEnd w:id="75"/>
    </w:p>
    <w:p>
      <w:pPr>
        <w:ind w:firstLine="420" w:firstLineChars="200"/>
      </w:pPr>
      <w:r>
        <w:t>电子药历主要由临床药学文档组成，临床药学文档是电子药历中各类业务活动记录的基本形式。临床药学文档中的数据存在着一定的层级结构关系，其中有包含与被包含的关系，也有按同类属性相互嵌套的关系。临床药学文档的结构化和标准化，是电子药历实现语义层数据交换与共享的基本要求。</w:t>
      </w:r>
    </w:p>
    <w:p>
      <w:pPr>
        <w:ind w:firstLine="420" w:firstLineChars="200"/>
      </w:pPr>
      <w:r>
        <w:t>电子药历数据结构用于规范描述电子药历中数据的层次结构关系，即电子药历从临床药学文档到数据元的逐步分解、或从数据元到临床药学文档的逐步聚合关系。</w:t>
      </w:r>
    </w:p>
    <w:p>
      <w:pPr>
        <w:ind w:firstLine="420" w:firstLineChars="200"/>
      </w:pPr>
      <w:r>
        <w:t>电子药历数据结构分为四层(</w:t>
      </w:r>
      <w:r>
        <w:rPr>
          <w:rFonts w:hint="eastAsia"/>
        </w:rPr>
        <w:t>具体内容及其对应示例</w:t>
      </w:r>
      <w:r>
        <w:t>见图1)：</w:t>
      </w:r>
    </w:p>
    <w:p>
      <w:pPr>
        <w:ind w:firstLine="420" w:firstLineChars="200"/>
        <w:rPr>
          <w:highlight w:val="yellow"/>
        </w:rPr>
      </w:pPr>
      <w:r>
        <w:t>(1)</w:t>
      </w:r>
      <w:r>
        <w:rPr>
          <w:lang w:eastAsia="zh-Hans"/>
        </w:rPr>
        <w:t>临床药学</w:t>
      </w:r>
      <w:r>
        <w:t>文档：位于电子药历数据结构的最顶层，是由特定</w:t>
      </w:r>
      <w:r>
        <w:rPr>
          <w:lang w:eastAsia="zh-Hans"/>
        </w:rPr>
        <w:t>药学</w:t>
      </w:r>
      <w:r>
        <w:t>服务活动产生和记录的患者临床诊疗和指导干预信息的数据集合。</w:t>
      </w:r>
      <w:r>
        <w:rPr>
          <w:lang w:eastAsia="zh-Hans"/>
        </w:rPr>
        <w:t>在电子药历中</w:t>
      </w:r>
      <w:r>
        <w:t>包括</w:t>
      </w:r>
      <w:r>
        <w:rPr>
          <w:rFonts w:hint="eastAsia"/>
          <w:lang w:val="en-US" w:eastAsia="zh-CN"/>
        </w:rPr>
        <w:t>入院</w:t>
      </w:r>
      <w:r>
        <w:rPr>
          <w:lang w:eastAsia="zh-Hans"/>
        </w:rPr>
        <w:t>药学评估</w:t>
      </w:r>
      <w:r>
        <w:t>表</w:t>
      </w:r>
      <w:r>
        <w:rPr>
          <w:lang w:eastAsia="zh-Hans"/>
        </w:rPr>
        <w:t>、药</w:t>
      </w:r>
      <w:r>
        <w:t>历</w:t>
      </w:r>
      <w:r>
        <w:rPr>
          <w:lang w:eastAsia="zh-Hans"/>
        </w:rPr>
        <w:t>首页、药学监护记录、药历小结</w:t>
      </w:r>
      <w:r>
        <w:t>四个部分</w:t>
      </w:r>
      <w:r>
        <w:rPr>
          <w:rFonts w:hint="eastAsia"/>
        </w:rPr>
        <w:t>的临床药学文档信息</w:t>
      </w:r>
      <w:r>
        <w:t>，具体内容见河南省药学会团体标准《住院患者药学监护技术规范》（T/HENANPA 001—20</w:t>
      </w:r>
      <w:r>
        <w:rPr>
          <w:rFonts w:hint="eastAsia"/>
        </w:rPr>
        <w:t>2</w:t>
      </w:r>
      <w:r>
        <w:t>2）《住院患者药历书写基本规范》（T/HENANPA 002—2022）。</w:t>
      </w:r>
    </w:p>
    <w:p>
      <w:pPr>
        <w:ind w:firstLine="420" w:firstLineChars="200"/>
      </w:pPr>
      <w:r>
        <w:t>(2)文档段：结构化的临床药学文档一般可拆分为若干逻辑上的段，即文档段。文档段为构成该文档段的数据提供临床语境，即为其中的数据元通用定义增加特定的约束。结构化的文档段一般由数据组组成，并通过数据组获得特定的定义。本标准中未明确定义文档段，但隐含了文档段概念。</w:t>
      </w:r>
      <w:r>
        <w:rPr>
          <w:rFonts w:hint="eastAsia"/>
        </w:rPr>
        <w:t>如药历首页中包括的文档段有患者信息、现病史及现病史用药汇总、既往史及既往史用药汇总、过敏史及处置史、初始药物治疗方案汇总、药学评估结果、药学监护计划等文档段信息。</w:t>
      </w:r>
    </w:p>
    <w:p>
      <w:pPr>
        <w:ind w:firstLine="420" w:firstLineChars="200"/>
      </w:pPr>
      <w:r>
        <w:t>(3)数据组：由若干数据元构成，作为一个数据元集合体构成临床药学文档的基本单元，具有临床语义完整性和可重用性特点。数据组可以存在嵌套结构，即较大的数据组中可包含较小的子数据组。如：</w:t>
      </w:r>
      <w:r>
        <w:rPr>
          <w:rFonts w:hint="eastAsia"/>
        </w:rPr>
        <w:t>初始药物治疗方案汇总包括药品医嘱信息、患者自带药品信息</w:t>
      </w:r>
      <w:r>
        <w:t>等</w:t>
      </w:r>
      <w:r>
        <w:rPr>
          <w:rFonts w:hint="eastAsia"/>
        </w:rPr>
        <w:t>数据组信息</w:t>
      </w:r>
      <w:r>
        <w:t>。</w:t>
      </w:r>
    </w:p>
    <w:p>
      <w:pPr>
        <w:ind w:firstLine="420" w:firstLineChars="200"/>
      </w:pPr>
      <w:r>
        <w:t>(4)数据元：位于电子药历数据结构的最底层，是可以通过定义、标识、表示和允许值等一系列属性进行赋值的最小、不可再细分的数据单元。</w:t>
      </w:r>
      <w:r>
        <w:rPr>
          <w:rFonts w:hint="eastAsia"/>
        </w:rPr>
        <w:t>如药品医嘱信息中包括各种药品的药品通用名、给药途径、给药剂量、给药频次等数据元信息。</w:t>
      </w:r>
    </w:p>
    <w:p>
      <w:pPr>
        <w:spacing w:line="240" w:lineRule="auto"/>
      </w:pPr>
      <w:r>
        <w:rPr>
          <w:rFonts w:hint="eastAsia"/>
        </w:rPr>
        <w:drawing>
          <wp:inline distT="0" distB="0" distL="114300" distR="114300">
            <wp:extent cx="5409565" cy="3750945"/>
            <wp:effectExtent l="0" t="0" r="635" b="1905"/>
            <wp:docPr id="9" name="图片 9" descr="1274676ef667312864e43ebf73d36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74676ef667312864e43ebf73d36c4"/>
                    <pic:cNvPicPr>
                      <a:picLocks noChangeAspect="1"/>
                    </pic:cNvPicPr>
                  </pic:nvPicPr>
                  <pic:blipFill>
                    <a:blip r:embed="rId14"/>
                    <a:stretch>
                      <a:fillRect/>
                    </a:stretch>
                  </pic:blipFill>
                  <pic:spPr>
                    <a:xfrm>
                      <a:off x="0" y="0"/>
                      <a:ext cx="5409565" cy="3750945"/>
                    </a:xfrm>
                    <a:prstGeom prst="rect">
                      <a:avLst/>
                    </a:prstGeom>
                  </pic:spPr>
                </pic:pic>
              </a:graphicData>
            </a:graphic>
          </wp:inline>
        </w:drawing>
      </w:r>
    </w:p>
    <w:p>
      <w:pPr>
        <w:ind w:firstLine="210" w:firstLineChars="100"/>
        <w:jc w:val="center"/>
        <w:rPr>
          <w:lang w:eastAsia="zh-Hans"/>
        </w:rPr>
      </w:pPr>
      <w:r>
        <w:rPr>
          <w:lang w:eastAsia="zh-Hans"/>
        </w:rPr>
        <w:t>图1</w:t>
      </w:r>
    </w:p>
    <w:p>
      <w:pPr>
        <w:pStyle w:val="4"/>
        <w:rPr>
          <w:b w:val="0"/>
          <w:bCs w:val="0"/>
          <w:sz w:val="21"/>
          <w:szCs w:val="21"/>
        </w:rPr>
      </w:pPr>
      <w:bookmarkStart w:id="76" w:name="_Toc14157"/>
      <w:r>
        <w:rPr>
          <w:b w:val="0"/>
          <w:bCs w:val="0"/>
          <w:sz w:val="21"/>
          <w:szCs w:val="21"/>
        </w:rPr>
        <w:t>5.2电子药历临床药学文档信息模型</w:t>
      </w:r>
      <w:bookmarkEnd w:id="76"/>
    </w:p>
    <w:p>
      <w:pPr>
        <w:ind w:firstLine="420" w:firstLineChars="200"/>
      </w:pPr>
      <w:r>
        <w:t>信息模型是对所有被描述对象共同特征属性的抽象描述，用于规定信息间的结构和关系，具有稳定性和通用性，且独立于任何具体的信息系统。临床药学文档信息模型的作用是为电子药历中不同来源和用途的业务活动记录(即临床药学文档)，建立一个标准化的数据表达模式和信息分类框架，实现临床药学文档的结构化表达和数据元的科学归档，并方便电子药历信息利用者的快速理解和共享。</w:t>
      </w:r>
    </w:p>
    <w:p>
      <w:pPr>
        <w:ind w:firstLine="420" w:firstLineChars="200"/>
      </w:pPr>
      <w:r>
        <w:t>临床药学文档分为文档头和文档体两部分：</w:t>
      </w:r>
    </w:p>
    <w:p>
      <w:pPr>
        <w:ind w:firstLine="420" w:firstLineChars="200"/>
      </w:pPr>
      <w:r>
        <w:t>(1)文档头：主要为临床药学文档中的各类标识信息，如文档标识、服务对象标识（</w:t>
      </w:r>
      <w:r>
        <w:rPr>
          <w:lang w:eastAsia="zh-Hans"/>
        </w:rPr>
        <w:t>患者</w:t>
      </w:r>
      <w:r>
        <w:t>）、服务提供者标识（</w:t>
      </w:r>
      <w:r>
        <w:rPr>
          <w:lang w:eastAsia="zh-Hans"/>
        </w:rPr>
        <w:t>医院、临床药师</w:t>
      </w:r>
      <w:r>
        <w:t>）等。文档头可理解为临床药学文档的元数据，用于临床药学文档跨机构交换与共享时的标识、定位和管理（是各个章节模块的共同部分，主要记录的是患者基本信息、数据记录者信息以及文档保存机构的相关信息，它由一些章节信息组成，例如文档活动类、患者、创作者、数据录入、文档管理等部分章节信息组成）。</w:t>
      </w:r>
    </w:p>
    <w:p>
      <w:pPr>
        <w:ind w:firstLine="420" w:firstLineChars="200"/>
      </w:pPr>
      <w:r>
        <w:t>(2)文档体：是临床药学文档的具体记录内容，包含临床语境。</w:t>
      </w:r>
    </w:p>
    <w:p>
      <w:pPr>
        <w:rPr>
          <w:lang w:eastAsia="zh-Hans"/>
        </w:rPr>
      </w:pPr>
      <w:r>
        <w:t>文档头和文档体分别由承担不同角色和作用的数据组构成，数据组为两级嵌套结构，</w:t>
      </w:r>
      <w:r>
        <w:rPr>
          <w:lang w:eastAsia="zh-Hans"/>
        </w:rPr>
        <w:t>具体分类见表1-4。</w:t>
      </w:r>
    </w:p>
    <w:p>
      <w:pPr>
        <w:numPr>
          <w:ilvl w:val="255"/>
          <w:numId w:val="0"/>
        </w:numPr>
        <w:ind w:firstLine="420" w:firstLineChars="200"/>
      </w:pPr>
      <w:r>
        <w:rPr>
          <w:rFonts w:hint="eastAsia"/>
        </w:rPr>
        <w:t>(3)</w:t>
      </w:r>
      <w:r>
        <w:t>基数：定义了事件或元素在指定的位置上可以重复出现的次数的最小和最大值。例如，1..*意味者最少的事件是1，而最多的事件是无限的。</w:t>
      </w:r>
    </w:p>
    <w:p>
      <w:pPr>
        <w:numPr>
          <w:ilvl w:val="255"/>
          <w:numId w:val="0"/>
        </w:numPr>
        <w:ind w:firstLine="420" w:firstLineChars="200"/>
      </w:pPr>
      <w:r>
        <w:t>(</w:t>
      </w:r>
      <w:r>
        <w:rPr>
          <w:rFonts w:hint="eastAsia"/>
        </w:rPr>
        <w:t>4</w:t>
      </w:r>
      <w:r>
        <w:t>)约束条件</w:t>
      </w:r>
      <w:r>
        <w:rPr>
          <w:rFonts w:hint="eastAsia"/>
        </w:rPr>
        <w:t>：R为必选元素，对数据元素而言，必需的数据元素表明该数据元素应该总被提供，如果信息可以获得，则数据元素必需出现，如果信息不可获得，或不被传送，则应采用医疗信息交换标准HL7（Health Level 7）定义的空值含义来指出没有数据的原因。O为可选元素，一个可选元素是可以提供的，这与信息是否可以获得无关。</w:t>
      </w:r>
    </w:p>
    <w:p>
      <w:pPr>
        <w:jc w:val="center"/>
        <w:rPr>
          <w:lang w:eastAsia="zh-Hans"/>
        </w:rPr>
      </w:pPr>
      <w:r>
        <w:rPr>
          <w:lang w:eastAsia="zh-Hans"/>
        </w:rPr>
        <w:t>表1</w:t>
      </w:r>
      <w:r>
        <w:rPr>
          <w:rFonts w:hint="eastAsia"/>
          <w:lang w:val="en-US" w:eastAsia="zh-CN"/>
        </w:rPr>
        <w:t>入院</w:t>
      </w:r>
      <w:r>
        <w:rPr>
          <w:lang w:eastAsia="zh-Hans"/>
        </w:rPr>
        <w:t>药学评估表</w:t>
      </w:r>
    </w:p>
    <w:tbl>
      <w:tblPr>
        <w:tblStyle w:val="16"/>
        <w:tblW w:w="6804" w:type="dxa"/>
        <w:jc w:val="center"/>
        <w:tblLayout w:type="autofit"/>
        <w:tblCellMar>
          <w:top w:w="15" w:type="dxa"/>
          <w:left w:w="15" w:type="dxa"/>
          <w:bottom w:w="15" w:type="dxa"/>
          <w:right w:w="15" w:type="dxa"/>
        </w:tblCellMar>
      </w:tblPr>
      <w:tblGrid>
        <w:gridCol w:w="2127"/>
        <w:gridCol w:w="2409"/>
        <w:gridCol w:w="1134"/>
        <w:gridCol w:w="1134"/>
      </w:tblGrid>
      <w:tr>
        <w:tblPrEx>
          <w:tblCellMar>
            <w:top w:w="15" w:type="dxa"/>
            <w:left w:w="15" w:type="dxa"/>
            <w:bottom w:w="15" w:type="dxa"/>
            <w:right w:w="15" w:type="dxa"/>
          </w:tblCellMar>
        </w:tblPrEx>
        <w:trPr>
          <w:trHeight w:val="285" w:hRule="atLeast"/>
          <w:jc w:val="center"/>
        </w:trPr>
        <w:tc>
          <w:tcPr>
            <w:tcW w:w="2127"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文档构成</w:t>
            </w:r>
          </w:p>
        </w:tc>
        <w:tc>
          <w:tcPr>
            <w:tcW w:w="2409"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信息模块</w:t>
            </w:r>
          </w:p>
        </w:tc>
        <w:tc>
          <w:tcPr>
            <w:tcW w:w="1134"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基数</w:t>
            </w:r>
          </w:p>
        </w:tc>
        <w:tc>
          <w:tcPr>
            <w:tcW w:w="1134"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约束条件</w:t>
            </w:r>
          </w:p>
        </w:tc>
      </w:tr>
      <w:tr>
        <w:tblPrEx>
          <w:tblCellMar>
            <w:top w:w="15" w:type="dxa"/>
            <w:left w:w="15" w:type="dxa"/>
            <w:bottom w:w="15" w:type="dxa"/>
            <w:right w:w="15" w:type="dxa"/>
          </w:tblCellMar>
        </w:tblPrEx>
        <w:trPr>
          <w:trHeight w:val="285" w:hRule="atLeast"/>
          <w:jc w:val="center"/>
        </w:trPr>
        <w:tc>
          <w:tcPr>
            <w:tcW w:w="2127" w:type="dxa"/>
            <w:vMerge w:val="restart"/>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文档头</w:t>
            </w: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文档活动类</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患者信息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创作者信息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数据录入者信息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4"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文档管理者信息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auto" w:sz="4" w:space="0"/>
            </w:tcBorders>
            <w:shd w:val="clear" w:color="auto" w:fill="auto"/>
            <w:vAlign w:val="center"/>
          </w:tcPr>
          <w:p>
            <w:pPr>
              <w:jc w:val="center"/>
              <w:rPr>
                <w:rFonts w:cs="宋体"/>
                <w:color w:val="000000"/>
                <w:szCs w:val="21"/>
              </w:rPr>
            </w:pPr>
          </w:p>
        </w:tc>
        <w:tc>
          <w:tcPr>
            <w:tcW w:w="2409" w:type="dxa"/>
            <w:tcBorders>
              <w:bottom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关联活动信息</w:t>
            </w:r>
          </w:p>
        </w:tc>
        <w:tc>
          <w:tcPr>
            <w:tcW w:w="1134" w:type="dxa"/>
            <w:tcBorders>
              <w:bottom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w:t>
            </w:r>
          </w:p>
        </w:tc>
        <w:tc>
          <w:tcPr>
            <w:tcW w:w="1134" w:type="dxa"/>
            <w:tcBorders>
              <w:bottom w:val="single" w:color="auto" w:sz="4" w:space="0"/>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restart"/>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文档体</w:t>
            </w:r>
          </w:p>
        </w:tc>
        <w:tc>
          <w:tcPr>
            <w:tcW w:w="2409" w:type="dxa"/>
            <w:tcBorders>
              <w:top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患者一般情况章节</w:t>
            </w:r>
          </w:p>
        </w:tc>
        <w:tc>
          <w:tcPr>
            <w:tcW w:w="1134"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widowControl/>
              <w:jc w:val="center"/>
              <w:textAlignment w:val="center"/>
              <w:rPr>
                <w:rFonts w:eastAsia="宋体" w:cs="宋体"/>
                <w:color w:val="000000"/>
                <w:kern w:val="0"/>
                <w:szCs w:val="21"/>
                <w:lang w:bidi="ar"/>
              </w:rPr>
            </w:pPr>
          </w:p>
        </w:tc>
        <w:tc>
          <w:tcPr>
            <w:tcW w:w="2409" w:type="dxa"/>
            <w:shd w:val="clear" w:color="auto" w:fill="auto"/>
            <w:vAlign w:val="center"/>
          </w:tcPr>
          <w:p>
            <w:pPr>
              <w:widowControl/>
              <w:jc w:val="left"/>
              <w:textAlignment w:val="center"/>
              <w:rPr>
                <w:rFonts w:eastAsia="宋体" w:cs="宋体"/>
                <w:color w:val="000000"/>
                <w:kern w:val="0"/>
                <w:szCs w:val="21"/>
                <w:lang w:bidi="ar"/>
              </w:rPr>
            </w:pPr>
            <w:r>
              <w:rPr>
                <w:rFonts w:eastAsia="宋体" w:cs="宋体"/>
                <w:color w:val="000000"/>
                <w:kern w:val="0"/>
                <w:szCs w:val="21"/>
                <w:lang w:bidi="ar"/>
              </w:rPr>
              <w:t>患者生活方式章节</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既往用药依从性章节</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一般医药知识章节</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409" w:type="dxa"/>
            <w:tcBorders>
              <w:bottom w:val="single" w:color="000000" w:sz="4" w:space="0"/>
            </w:tcBorders>
            <w:shd w:val="clear" w:color="auto" w:fill="auto"/>
            <w:vAlign w:val="center"/>
          </w:tcPr>
          <w:p>
            <w:pPr>
              <w:widowControl/>
              <w:jc w:val="left"/>
              <w:textAlignment w:val="center"/>
              <w:rPr>
                <w:rFonts w:eastAsia="宋体" w:cs="宋体"/>
                <w:color w:val="000000"/>
                <w:kern w:val="0"/>
                <w:szCs w:val="21"/>
                <w:lang w:bidi="ar"/>
              </w:rPr>
            </w:pPr>
            <w:r>
              <w:rPr>
                <w:rFonts w:eastAsia="宋体" w:cs="宋体"/>
                <w:color w:val="000000"/>
                <w:kern w:val="0"/>
                <w:szCs w:val="21"/>
                <w:lang w:bidi="ar"/>
              </w:rPr>
              <w:t>评估结论</w:t>
            </w:r>
          </w:p>
        </w:tc>
        <w:tc>
          <w:tcPr>
            <w:tcW w:w="1134"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bl>
    <w:p>
      <w:pPr>
        <w:jc w:val="center"/>
        <w:rPr>
          <w:lang w:eastAsia="zh-Hans"/>
        </w:rPr>
      </w:pPr>
    </w:p>
    <w:p>
      <w:pPr>
        <w:jc w:val="center"/>
      </w:pPr>
      <w:r>
        <w:rPr>
          <w:rFonts w:hint="eastAsia"/>
        </w:rPr>
        <w:t>表</w:t>
      </w:r>
      <w:r>
        <w:rPr>
          <w:lang w:eastAsia="zh-Hans"/>
        </w:rPr>
        <w:t>2</w:t>
      </w:r>
      <w:r>
        <w:t>药</w:t>
      </w:r>
      <w:r>
        <w:rPr>
          <w:rFonts w:hint="eastAsia"/>
        </w:rPr>
        <w:t>历</w:t>
      </w:r>
      <w:r>
        <w:t>首页</w:t>
      </w:r>
    </w:p>
    <w:tbl>
      <w:tblPr>
        <w:tblStyle w:val="16"/>
        <w:tblW w:w="6804" w:type="dxa"/>
        <w:jc w:val="center"/>
        <w:tblLayout w:type="autofit"/>
        <w:tblCellMar>
          <w:top w:w="15" w:type="dxa"/>
          <w:left w:w="15" w:type="dxa"/>
          <w:bottom w:w="15" w:type="dxa"/>
          <w:right w:w="15" w:type="dxa"/>
        </w:tblCellMar>
      </w:tblPr>
      <w:tblGrid>
        <w:gridCol w:w="2127"/>
        <w:gridCol w:w="2664"/>
        <w:gridCol w:w="883"/>
        <w:gridCol w:w="1130"/>
      </w:tblGrid>
      <w:tr>
        <w:tblPrEx>
          <w:tblCellMar>
            <w:top w:w="15" w:type="dxa"/>
            <w:left w:w="15" w:type="dxa"/>
            <w:bottom w:w="15" w:type="dxa"/>
            <w:right w:w="15" w:type="dxa"/>
          </w:tblCellMar>
        </w:tblPrEx>
        <w:trPr>
          <w:trHeight w:val="285" w:hRule="atLeast"/>
          <w:jc w:val="center"/>
        </w:trPr>
        <w:tc>
          <w:tcPr>
            <w:tcW w:w="2127"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文档构成</w:t>
            </w:r>
          </w:p>
        </w:tc>
        <w:tc>
          <w:tcPr>
            <w:tcW w:w="2664"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信息模块</w:t>
            </w:r>
          </w:p>
        </w:tc>
        <w:tc>
          <w:tcPr>
            <w:tcW w:w="883"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基数</w:t>
            </w:r>
          </w:p>
        </w:tc>
        <w:tc>
          <w:tcPr>
            <w:tcW w:w="1130"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约束条件</w:t>
            </w:r>
          </w:p>
        </w:tc>
      </w:tr>
      <w:tr>
        <w:tblPrEx>
          <w:tblCellMar>
            <w:top w:w="15" w:type="dxa"/>
            <w:left w:w="15" w:type="dxa"/>
            <w:bottom w:w="15" w:type="dxa"/>
            <w:right w:w="15" w:type="dxa"/>
          </w:tblCellMar>
        </w:tblPrEx>
        <w:trPr>
          <w:trHeight w:val="285" w:hRule="atLeast"/>
          <w:jc w:val="center"/>
        </w:trPr>
        <w:tc>
          <w:tcPr>
            <w:tcW w:w="2127" w:type="dxa"/>
            <w:vMerge w:val="restart"/>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文档头</w:t>
            </w:r>
          </w:p>
        </w:tc>
        <w:tc>
          <w:tcPr>
            <w:tcW w:w="2664"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文档活动类</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664"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患者信息</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664"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创作者信息</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664"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数据录入者信息</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0"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664"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文档管理者信息</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auto" w:sz="4" w:space="0"/>
            </w:tcBorders>
            <w:shd w:val="clear" w:color="auto" w:fill="auto"/>
            <w:vAlign w:val="center"/>
          </w:tcPr>
          <w:p>
            <w:pPr>
              <w:jc w:val="center"/>
              <w:rPr>
                <w:rFonts w:cs="宋体"/>
                <w:color w:val="000000"/>
                <w:szCs w:val="21"/>
              </w:rPr>
            </w:pPr>
          </w:p>
        </w:tc>
        <w:tc>
          <w:tcPr>
            <w:tcW w:w="2664" w:type="dxa"/>
            <w:tcBorders>
              <w:bottom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关联活动信息</w:t>
            </w:r>
          </w:p>
        </w:tc>
        <w:tc>
          <w:tcPr>
            <w:tcW w:w="883" w:type="dxa"/>
            <w:tcBorders>
              <w:bottom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w:t>
            </w:r>
          </w:p>
        </w:tc>
        <w:tc>
          <w:tcPr>
            <w:tcW w:w="1130" w:type="dxa"/>
            <w:tcBorders>
              <w:bottom w:val="single" w:color="auto" w:sz="4" w:space="0"/>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restart"/>
            <w:tcBorders>
              <w:top w:val="single" w:color="auto" w:sz="4" w:space="0"/>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文档体</w:t>
            </w:r>
          </w:p>
        </w:tc>
        <w:tc>
          <w:tcPr>
            <w:tcW w:w="2664" w:type="dxa"/>
            <w:tcBorders>
              <w:top w:val="single" w:color="auto" w:sz="4" w:space="0"/>
              <w:left w:val="nil"/>
              <w:bottom w:val="nil"/>
              <w:right w:val="nil"/>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主诉章节</w:t>
            </w:r>
          </w:p>
        </w:tc>
        <w:tc>
          <w:tcPr>
            <w:tcW w:w="883" w:type="dxa"/>
            <w:tcBorders>
              <w:top w:val="single" w:color="auto" w:sz="4" w:space="0"/>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tcBorders>
              <w:top w:val="single" w:color="auto" w:sz="4" w:space="0"/>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nil"/>
              <w:right w:val="nil"/>
            </w:tcBorders>
            <w:shd w:val="clear" w:color="auto" w:fill="auto"/>
            <w:vAlign w:val="center"/>
          </w:tcPr>
          <w:p>
            <w:pPr>
              <w:jc w:val="center"/>
              <w:rPr>
                <w:rFonts w:cs="宋体"/>
                <w:color w:val="000000"/>
                <w:szCs w:val="21"/>
              </w:rPr>
            </w:pPr>
          </w:p>
        </w:tc>
        <w:tc>
          <w:tcPr>
            <w:tcW w:w="2664" w:type="dxa"/>
            <w:tcBorders>
              <w:top w:val="nil"/>
              <w:left w:val="nil"/>
              <w:bottom w:val="nil"/>
              <w:right w:val="nil"/>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不良嗜好章节</w:t>
            </w:r>
          </w:p>
        </w:tc>
        <w:tc>
          <w:tcPr>
            <w:tcW w:w="883"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0" w:type="dxa"/>
            <w:tcBorders>
              <w:top w:val="nil"/>
              <w:left w:val="nil"/>
              <w:bottom w:val="nil"/>
              <w:right w:val="nil"/>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nil"/>
              <w:right w:val="nil"/>
            </w:tcBorders>
            <w:shd w:val="clear" w:color="auto" w:fill="auto"/>
            <w:vAlign w:val="center"/>
          </w:tcPr>
          <w:p>
            <w:pPr>
              <w:jc w:val="center"/>
              <w:rPr>
                <w:rFonts w:cs="宋体"/>
                <w:color w:val="000000"/>
                <w:szCs w:val="21"/>
              </w:rPr>
            </w:pPr>
          </w:p>
        </w:tc>
        <w:tc>
          <w:tcPr>
            <w:tcW w:w="2664" w:type="dxa"/>
            <w:tcBorders>
              <w:top w:val="nil"/>
              <w:left w:val="nil"/>
              <w:bottom w:val="nil"/>
              <w:right w:val="nil"/>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现病史及用药汇总章节</w:t>
            </w:r>
          </w:p>
        </w:tc>
        <w:tc>
          <w:tcPr>
            <w:tcW w:w="883"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nil"/>
              <w:right w:val="nil"/>
            </w:tcBorders>
            <w:shd w:val="clear" w:color="auto" w:fill="auto"/>
            <w:vAlign w:val="center"/>
          </w:tcPr>
          <w:p>
            <w:pPr>
              <w:jc w:val="center"/>
              <w:rPr>
                <w:rFonts w:cs="宋体"/>
                <w:color w:val="000000"/>
                <w:szCs w:val="21"/>
              </w:rPr>
            </w:pPr>
          </w:p>
        </w:tc>
        <w:tc>
          <w:tcPr>
            <w:tcW w:w="2664" w:type="dxa"/>
            <w:tcBorders>
              <w:top w:val="nil"/>
              <w:left w:val="nil"/>
              <w:bottom w:val="nil"/>
              <w:right w:val="nil"/>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既往史及用药汇总章节</w:t>
            </w:r>
          </w:p>
        </w:tc>
        <w:tc>
          <w:tcPr>
            <w:tcW w:w="883"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0" w:type="dxa"/>
            <w:tcBorders>
              <w:top w:val="nil"/>
              <w:left w:val="nil"/>
              <w:bottom w:val="nil"/>
              <w:right w:val="nil"/>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nil"/>
              <w:right w:val="nil"/>
            </w:tcBorders>
            <w:shd w:val="clear" w:color="auto" w:fill="auto"/>
            <w:vAlign w:val="center"/>
          </w:tcPr>
          <w:p>
            <w:pPr>
              <w:jc w:val="center"/>
              <w:rPr>
                <w:rFonts w:cs="宋体"/>
                <w:color w:val="000000"/>
                <w:szCs w:val="21"/>
              </w:rPr>
            </w:pPr>
          </w:p>
        </w:tc>
        <w:tc>
          <w:tcPr>
            <w:tcW w:w="2664" w:type="dxa"/>
            <w:tcBorders>
              <w:top w:val="nil"/>
              <w:left w:val="nil"/>
              <w:bottom w:val="nil"/>
              <w:right w:val="nil"/>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过敏史及处置史章节</w:t>
            </w:r>
          </w:p>
        </w:tc>
        <w:tc>
          <w:tcPr>
            <w:tcW w:w="883"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nil"/>
              <w:right w:val="nil"/>
            </w:tcBorders>
            <w:shd w:val="clear" w:color="auto" w:fill="auto"/>
            <w:vAlign w:val="center"/>
          </w:tcPr>
          <w:p>
            <w:pPr>
              <w:jc w:val="center"/>
              <w:rPr>
                <w:rFonts w:cs="宋体"/>
                <w:color w:val="000000"/>
                <w:szCs w:val="21"/>
              </w:rPr>
            </w:pPr>
          </w:p>
        </w:tc>
        <w:tc>
          <w:tcPr>
            <w:tcW w:w="2664" w:type="dxa"/>
            <w:tcBorders>
              <w:top w:val="nil"/>
              <w:left w:val="nil"/>
              <w:bottom w:val="nil"/>
              <w:right w:val="nil"/>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家族史</w:t>
            </w:r>
            <w:r>
              <w:rPr>
                <w:rFonts w:hint="eastAsia" w:eastAsia="宋体" w:cs="宋体"/>
                <w:color w:val="000000"/>
                <w:kern w:val="0"/>
                <w:szCs w:val="21"/>
                <w:lang w:bidi="ar"/>
              </w:rPr>
              <w:t>、个人史</w:t>
            </w:r>
            <w:r>
              <w:rPr>
                <w:rFonts w:eastAsia="宋体" w:cs="宋体"/>
                <w:color w:val="000000"/>
                <w:kern w:val="0"/>
                <w:szCs w:val="21"/>
                <w:lang w:bidi="ar"/>
              </w:rPr>
              <w:t>章节</w:t>
            </w:r>
          </w:p>
        </w:tc>
        <w:tc>
          <w:tcPr>
            <w:tcW w:w="883" w:type="dxa"/>
            <w:tcBorders>
              <w:top w:val="nil"/>
              <w:left w:val="nil"/>
              <w:bottom w:val="nil"/>
              <w:right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0" w:type="dxa"/>
            <w:tcBorders>
              <w:top w:val="nil"/>
              <w:left w:val="nil"/>
              <w:bottom w:val="nil"/>
              <w:right w:val="nil"/>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top w:val="nil"/>
              <w:left w:val="nil"/>
              <w:bottom w:val="single" w:color="000000" w:sz="4" w:space="0"/>
            </w:tcBorders>
            <w:shd w:val="clear" w:color="auto" w:fill="auto"/>
            <w:vAlign w:val="center"/>
          </w:tcPr>
          <w:p>
            <w:pPr>
              <w:jc w:val="center"/>
              <w:rPr>
                <w:rFonts w:cs="宋体"/>
                <w:color w:val="000000"/>
                <w:szCs w:val="21"/>
              </w:rPr>
            </w:pPr>
          </w:p>
        </w:tc>
        <w:tc>
          <w:tcPr>
            <w:tcW w:w="2664" w:type="dxa"/>
            <w:tcBorders>
              <w:top w:val="nil"/>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入院诊断章节</w:t>
            </w:r>
          </w:p>
        </w:tc>
        <w:tc>
          <w:tcPr>
            <w:tcW w:w="883" w:type="dxa"/>
            <w:tcBorders>
              <w:top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tcBorders>
              <w:top w:val="nil"/>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left w:val="nil"/>
              <w:bottom w:val="single" w:color="000000" w:sz="4" w:space="0"/>
            </w:tcBorders>
            <w:shd w:val="clear" w:color="auto" w:fill="auto"/>
            <w:vAlign w:val="center"/>
          </w:tcPr>
          <w:p>
            <w:pPr>
              <w:jc w:val="center"/>
              <w:rPr>
                <w:rFonts w:cs="宋体"/>
                <w:color w:val="000000"/>
                <w:szCs w:val="21"/>
              </w:rPr>
            </w:pPr>
          </w:p>
        </w:tc>
        <w:tc>
          <w:tcPr>
            <w:tcW w:w="2664" w:type="dxa"/>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初始药物治疗方案汇总章节</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left w:val="nil"/>
              <w:bottom w:val="single" w:color="000000" w:sz="4" w:space="0"/>
            </w:tcBorders>
            <w:shd w:val="clear" w:color="auto" w:fill="auto"/>
            <w:vAlign w:val="center"/>
          </w:tcPr>
          <w:p>
            <w:pPr>
              <w:jc w:val="center"/>
              <w:rPr>
                <w:rFonts w:cs="宋体"/>
                <w:color w:val="000000"/>
                <w:szCs w:val="21"/>
              </w:rPr>
            </w:pPr>
          </w:p>
        </w:tc>
        <w:tc>
          <w:tcPr>
            <w:tcW w:w="2664" w:type="dxa"/>
            <w:shd w:val="clear" w:color="auto" w:fill="auto"/>
            <w:vAlign w:val="center"/>
          </w:tcPr>
          <w:p>
            <w:pPr>
              <w:widowControl/>
              <w:textAlignment w:val="center"/>
              <w:rPr>
                <w:rFonts w:cs="宋体"/>
                <w:color w:val="000000"/>
                <w:szCs w:val="21"/>
              </w:rPr>
            </w:pPr>
            <w:r>
              <w:rPr>
                <w:rFonts w:hint="eastAsia" w:eastAsia="宋体" w:cs="宋体"/>
                <w:color w:val="000000"/>
                <w:kern w:val="0"/>
                <w:szCs w:val="21"/>
                <w:lang w:val="en-US" w:eastAsia="zh-CN" w:bidi="ar"/>
              </w:rPr>
              <w:t>入院</w:t>
            </w:r>
            <w:r>
              <w:rPr>
                <w:rFonts w:eastAsia="宋体" w:cs="宋体"/>
                <w:color w:val="000000"/>
                <w:kern w:val="0"/>
                <w:szCs w:val="21"/>
                <w:lang w:bidi="ar"/>
              </w:rPr>
              <w:t>药学评估结果章节</w:t>
            </w:r>
          </w:p>
        </w:tc>
        <w:tc>
          <w:tcPr>
            <w:tcW w:w="883"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left w:val="nil"/>
              <w:bottom w:val="single" w:color="000000" w:sz="4" w:space="0"/>
            </w:tcBorders>
            <w:shd w:val="clear" w:color="auto" w:fill="auto"/>
            <w:vAlign w:val="center"/>
          </w:tcPr>
          <w:p>
            <w:pPr>
              <w:jc w:val="center"/>
              <w:rPr>
                <w:rFonts w:cs="宋体"/>
                <w:color w:val="000000"/>
                <w:szCs w:val="21"/>
              </w:rPr>
            </w:pPr>
          </w:p>
        </w:tc>
        <w:tc>
          <w:tcPr>
            <w:tcW w:w="2664" w:type="dxa"/>
            <w:tcBorders>
              <w:bottom w:val="single" w:color="000000" w:sz="4" w:space="0"/>
            </w:tcBorders>
            <w:shd w:val="clear" w:color="auto" w:fill="auto"/>
            <w:vAlign w:val="center"/>
          </w:tcPr>
          <w:p>
            <w:pPr>
              <w:widowControl/>
              <w:textAlignment w:val="center"/>
              <w:rPr>
                <w:rFonts w:cs="宋体"/>
                <w:color w:val="000000"/>
                <w:szCs w:val="21"/>
              </w:rPr>
            </w:pPr>
            <w:r>
              <w:rPr>
                <w:rFonts w:eastAsia="宋体" w:cs="宋体"/>
                <w:color w:val="000000"/>
                <w:kern w:val="0"/>
                <w:szCs w:val="21"/>
                <w:lang w:bidi="ar"/>
              </w:rPr>
              <w:t>药学监护计划章节</w:t>
            </w:r>
          </w:p>
        </w:tc>
        <w:tc>
          <w:tcPr>
            <w:tcW w:w="883"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0"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bl>
    <w:p>
      <w:pPr>
        <w:jc w:val="center"/>
      </w:pPr>
    </w:p>
    <w:p>
      <w:pPr>
        <w:jc w:val="center"/>
        <w:rPr>
          <w:lang w:eastAsia="zh-Hans"/>
        </w:rPr>
      </w:pPr>
      <w:r>
        <w:rPr>
          <w:lang w:eastAsia="zh-Hans"/>
        </w:rPr>
        <w:t>表3药学监护记录</w:t>
      </w:r>
    </w:p>
    <w:tbl>
      <w:tblPr>
        <w:tblStyle w:val="16"/>
        <w:tblW w:w="6804" w:type="dxa"/>
        <w:jc w:val="center"/>
        <w:tblLayout w:type="autofit"/>
        <w:tblCellMar>
          <w:top w:w="15" w:type="dxa"/>
          <w:left w:w="15" w:type="dxa"/>
          <w:bottom w:w="15" w:type="dxa"/>
          <w:right w:w="15" w:type="dxa"/>
        </w:tblCellMar>
      </w:tblPr>
      <w:tblGrid>
        <w:gridCol w:w="2127"/>
        <w:gridCol w:w="2379"/>
        <w:gridCol w:w="1149"/>
        <w:gridCol w:w="1149"/>
      </w:tblGrid>
      <w:tr>
        <w:tblPrEx>
          <w:tblCellMar>
            <w:top w:w="15" w:type="dxa"/>
            <w:left w:w="15" w:type="dxa"/>
            <w:bottom w:w="15" w:type="dxa"/>
            <w:right w:w="15" w:type="dxa"/>
          </w:tblCellMar>
        </w:tblPrEx>
        <w:trPr>
          <w:trHeight w:val="285" w:hRule="atLeast"/>
          <w:jc w:val="center"/>
        </w:trPr>
        <w:tc>
          <w:tcPr>
            <w:tcW w:w="2127"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文档构成</w:t>
            </w:r>
          </w:p>
        </w:tc>
        <w:tc>
          <w:tcPr>
            <w:tcW w:w="2379"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信息模块</w:t>
            </w:r>
          </w:p>
        </w:tc>
        <w:tc>
          <w:tcPr>
            <w:tcW w:w="1149"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基数</w:t>
            </w:r>
          </w:p>
        </w:tc>
        <w:tc>
          <w:tcPr>
            <w:tcW w:w="1149"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约束条件</w:t>
            </w:r>
          </w:p>
        </w:tc>
      </w:tr>
      <w:tr>
        <w:tblPrEx>
          <w:tblCellMar>
            <w:top w:w="15" w:type="dxa"/>
            <w:left w:w="15" w:type="dxa"/>
            <w:bottom w:w="15" w:type="dxa"/>
            <w:right w:w="15" w:type="dxa"/>
          </w:tblCellMar>
        </w:tblPrEx>
        <w:trPr>
          <w:trHeight w:val="285" w:hRule="atLeast"/>
          <w:jc w:val="center"/>
        </w:trPr>
        <w:tc>
          <w:tcPr>
            <w:tcW w:w="2127" w:type="dxa"/>
            <w:vMerge w:val="restart"/>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文档头</w:t>
            </w: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文档活动类</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患者信息</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创作者信息</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数据录入者信息</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49"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文档管理者信息</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auto" w:sz="4" w:space="0"/>
            </w:tcBorders>
            <w:shd w:val="clear" w:color="auto" w:fill="auto"/>
            <w:vAlign w:val="center"/>
          </w:tcPr>
          <w:p>
            <w:pPr>
              <w:jc w:val="center"/>
              <w:rPr>
                <w:rFonts w:cs="宋体"/>
                <w:color w:val="000000"/>
                <w:szCs w:val="21"/>
              </w:rPr>
            </w:pPr>
          </w:p>
        </w:tc>
        <w:tc>
          <w:tcPr>
            <w:tcW w:w="2379" w:type="dxa"/>
            <w:tcBorders>
              <w:bottom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关联活动信息</w:t>
            </w:r>
          </w:p>
        </w:tc>
        <w:tc>
          <w:tcPr>
            <w:tcW w:w="1149" w:type="dxa"/>
            <w:tcBorders>
              <w:bottom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w:t>
            </w:r>
          </w:p>
        </w:tc>
        <w:tc>
          <w:tcPr>
            <w:tcW w:w="1149" w:type="dxa"/>
            <w:tcBorders>
              <w:bottom w:val="single" w:color="auto" w:sz="4" w:space="0"/>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restart"/>
            <w:tcBorders>
              <w:top w:val="single" w:color="auto" w:sz="4" w:space="0"/>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文档体</w:t>
            </w:r>
          </w:p>
        </w:tc>
        <w:tc>
          <w:tcPr>
            <w:tcW w:w="2379" w:type="dxa"/>
            <w:tcBorders>
              <w:top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生命体征</w:t>
            </w:r>
          </w:p>
        </w:tc>
        <w:tc>
          <w:tcPr>
            <w:tcW w:w="1149"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监护计划执行情况</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药物治疗方案调整</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49"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37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药学监护计划调整</w:t>
            </w:r>
          </w:p>
        </w:tc>
        <w:tc>
          <w:tcPr>
            <w:tcW w:w="1149"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49"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379" w:type="dxa"/>
            <w:tcBorders>
              <w:bottom w:val="single" w:color="000000"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出院用药教育</w:t>
            </w:r>
          </w:p>
        </w:tc>
        <w:tc>
          <w:tcPr>
            <w:tcW w:w="1149"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49"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bl>
    <w:p>
      <w:pPr>
        <w:jc w:val="center"/>
        <w:rPr>
          <w:lang w:eastAsia="zh-Hans"/>
        </w:rPr>
      </w:pPr>
    </w:p>
    <w:p>
      <w:pPr>
        <w:jc w:val="center"/>
        <w:rPr>
          <w:lang w:eastAsia="zh-Hans"/>
        </w:rPr>
      </w:pPr>
      <w:r>
        <w:rPr>
          <w:lang w:eastAsia="zh-Hans"/>
        </w:rPr>
        <w:t>表4药历小结</w:t>
      </w:r>
    </w:p>
    <w:tbl>
      <w:tblPr>
        <w:tblStyle w:val="16"/>
        <w:tblW w:w="6804" w:type="dxa"/>
        <w:jc w:val="center"/>
        <w:tblLayout w:type="autofit"/>
        <w:tblCellMar>
          <w:top w:w="15" w:type="dxa"/>
          <w:left w:w="15" w:type="dxa"/>
          <w:bottom w:w="15" w:type="dxa"/>
          <w:right w:w="15" w:type="dxa"/>
        </w:tblCellMar>
      </w:tblPr>
      <w:tblGrid>
        <w:gridCol w:w="2127"/>
        <w:gridCol w:w="2409"/>
        <w:gridCol w:w="1134"/>
        <w:gridCol w:w="1134"/>
      </w:tblGrid>
      <w:tr>
        <w:tblPrEx>
          <w:tblCellMar>
            <w:top w:w="15" w:type="dxa"/>
            <w:left w:w="15" w:type="dxa"/>
            <w:bottom w:w="15" w:type="dxa"/>
            <w:right w:w="15" w:type="dxa"/>
          </w:tblCellMar>
        </w:tblPrEx>
        <w:trPr>
          <w:trHeight w:val="285" w:hRule="atLeast"/>
          <w:jc w:val="center"/>
        </w:trPr>
        <w:tc>
          <w:tcPr>
            <w:tcW w:w="2127"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文档构成</w:t>
            </w:r>
          </w:p>
        </w:tc>
        <w:tc>
          <w:tcPr>
            <w:tcW w:w="2409"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信息模块</w:t>
            </w:r>
          </w:p>
        </w:tc>
        <w:tc>
          <w:tcPr>
            <w:tcW w:w="1134"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基数</w:t>
            </w:r>
          </w:p>
        </w:tc>
        <w:tc>
          <w:tcPr>
            <w:tcW w:w="1134" w:type="dxa"/>
            <w:tcBorders>
              <w:top w:val="single" w:color="000000" w:sz="4" w:space="0"/>
              <w:bottom w:val="single" w:color="000000" w:sz="4" w:space="0"/>
            </w:tcBorders>
            <w:shd w:val="clear" w:color="auto" w:fill="auto"/>
            <w:vAlign w:val="center"/>
          </w:tcPr>
          <w:p>
            <w:pPr>
              <w:widowControl/>
              <w:jc w:val="center"/>
              <w:textAlignment w:val="center"/>
              <w:rPr>
                <w:rFonts w:cs="宋体"/>
                <w:b/>
                <w:color w:val="000000"/>
                <w:szCs w:val="21"/>
              </w:rPr>
            </w:pPr>
            <w:r>
              <w:rPr>
                <w:rFonts w:eastAsia="宋体" w:cs="宋体"/>
                <w:b/>
                <w:color w:val="000000"/>
                <w:kern w:val="0"/>
                <w:szCs w:val="21"/>
                <w:lang w:bidi="ar"/>
              </w:rPr>
              <w:t>约束条件</w:t>
            </w:r>
          </w:p>
        </w:tc>
      </w:tr>
      <w:tr>
        <w:tblPrEx>
          <w:tblCellMar>
            <w:top w:w="15" w:type="dxa"/>
            <w:left w:w="15" w:type="dxa"/>
            <w:bottom w:w="15" w:type="dxa"/>
            <w:right w:w="15" w:type="dxa"/>
          </w:tblCellMar>
        </w:tblPrEx>
        <w:trPr>
          <w:trHeight w:val="285" w:hRule="atLeast"/>
          <w:jc w:val="center"/>
        </w:trPr>
        <w:tc>
          <w:tcPr>
            <w:tcW w:w="2127" w:type="dxa"/>
            <w:vMerge w:val="restart"/>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文档头</w:t>
            </w: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文档活动类</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患者信息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创作者信息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数据录入者信息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4"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文档管理者信息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auto" w:sz="4" w:space="0"/>
            </w:tcBorders>
            <w:shd w:val="clear" w:color="auto" w:fill="auto"/>
            <w:vAlign w:val="center"/>
          </w:tcPr>
          <w:p>
            <w:pPr>
              <w:jc w:val="center"/>
              <w:rPr>
                <w:rFonts w:cs="宋体"/>
                <w:color w:val="000000"/>
                <w:szCs w:val="21"/>
              </w:rPr>
            </w:pPr>
          </w:p>
        </w:tc>
        <w:tc>
          <w:tcPr>
            <w:tcW w:w="2409" w:type="dxa"/>
            <w:tcBorders>
              <w:bottom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关联活动信息</w:t>
            </w:r>
          </w:p>
        </w:tc>
        <w:tc>
          <w:tcPr>
            <w:tcW w:w="1134" w:type="dxa"/>
            <w:tcBorders>
              <w:bottom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w:t>
            </w:r>
          </w:p>
        </w:tc>
        <w:tc>
          <w:tcPr>
            <w:tcW w:w="1134" w:type="dxa"/>
            <w:tcBorders>
              <w:bottom w:val="single" w:color="auto" w:sz="4" w:space="0"/>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restart"/>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文档体</w:t>
            </w:r>
          </w:p>
        </w:tc>
        <w:tc>
          <w:tcPr>
            <w:tcW w:w="2409" w:type="dxa"/>
            <w:tcBorders>
              <w:top w:val="single" w:color="auto" w:sz="4" w:space="0"/>
            </w:tcBorders>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出院信息章节</w:t>
            </w:r>
          </w:p>
        </w:tc>
        <w:tc>
          <w:tcPr>
            <w:tcW w:w="1134"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tcBorders>
              <w:top w:val="single" w:color="auto"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用药章节</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1..1</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Ｒ</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合理用药</w:t>
            </w:r>
            <w:r>
              <w:rPr>
                <w:rFonts w:hint="eastAsia" w:eastAsia="宋体" w:cs="宋体"/>
                <w:color w:val="000000"/>
                <w:kern w:val="0"/>
                <w:szCs w:val="21"/>
                <w:lang w:val="en-US" w:eastAsia="zh-CN" w:bidi="ar"/>
              </w:rPr>
              <w:t>审核</w:t>
            </w:r>
            <w:r>
              <w:rPr>
                <w:rFonts w:eastAsia="宋体" w:cs="宋体"/>
                <w:color w:val="000000"/>
                <w:kern w:val="0"/>
                <w:szCs w:val="21"/>
                <w:lang w:bidi="ar"/>
              </w:rPr>
              <w:t>信息</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4"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shd w:val="clear" w:color="auto" w:fill="auto"/>
            <w:vAlign w:val="center"/>
          </w:tcPr>
          <w:p>
            <w:pPr>
              <w:jc w:val="center"/>
              <w:rPr>
                <w:rFonts w:cs="宋体"/>
                <w:color w:val="000000"/>
                <w:szCs w:val="21"/>
              </w:rPr>
            </w:pPr>
          </w:p>
        </w:tc>
        <w:tc>
          <w:tcPr>
            <w:tcW w:w="2409" w:type="dxa"/>
            <w:shd w:val="clear" w:color="auto" w:fill="auto"/>
            <w:vAlign w:val="center"/>
          </w:tcPr>
          <w:p>
            <w:pPr>
              <w:widowControl/>
              <w:jc w:val="left"/>
              <w:textAlignment w:val="center"/>
              <w:rPr>
                <w:rFonts w:cs="宋体"/>
                <w:color w:val="000000"/>
                <w:szCs w:val="21"/>
              </w:rPr>
            </w:pPr>
            <w:r>
              <w:rPr>
                <w:rFonts w:eastAsia="宋体" w:cs="宋体"/>
                <w:color w:val="000000"/>
                <w:kern w:val="0"/>
                <w:szCs w:val="21"/>
                <w:lang w:bidi="ar"/>
              </w:rPr>
              <w:t>医保费用章节</w:t>
            </w:r>
          </w:p>
        </w:tc>
        <w:tc>
          <w:tcPr>
            <w:tcW w:w="1134" w:type="dxa"/>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4" w:type="dxa"/>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r>
        <w:tblPrEx>
          <w:tblCellMar>
            <w:top w:w="15" w:type="dxa"/>
            <w:left w:w="15" w:type="dxa"/>
            <w:bottom w:w="15" w:type="dxa"/>
            <w:right w:w="15" w:type="dxa"/>
          </w:tblCellMar>
        </w:tblPrEx>
        <w:trPr>
          <w:trHeight w:val="285" w:hRule="atLeast"/>
          <w:jc w:val="center"/>
        </w:trPr>
        <w:tc>
          <w:tcPr>
            <w:tcW w:w="2127" w:type="dxa"/>
            <w:vMerge w:val="continue"/>
            <w:tcBorders>
              <w:bottom w:val="single" w:color="000000" w:sz="4" w:space="0"/>
            </w:tcBorders>
            <w:shd w:val="clear" w:color="auto" w:fill="auto"/>
            <w:vAlign w:val="center"/>
          </w:tcPr>
          <w:p>
            <w:pPr>
              <w:jc w:val="center"/>
              <w:rPr>
                <w:rFonts w:cs="宋体"/>
                <w:color w:val="000000"/>
                <w:szCs w:val="21"/>
              </w:rPr>
            </w:pPr>
          </w:p>
        </w:tc>
        <w:tc>
          <w:tcPr>
            <w:tcW w:w="2409" w:type="dxa"/>
            <w:tcBorders>
              <w:bottom w:val="single" w:color="000000" w:sz="4" w:space="0"/>
            </w:tcBorders>
            <w:shd w:val="clear" w:color="auto" w:fill="auto"/>
            <w:vAlign w:val="center"/>
          </w:tcPr>
          <w:p>
            <w:pPr>
              <w:widowControl/>
              <w:jc w:val="left"/>
              <w:textAlignment w:val="center"/>
              <w:rPr>
                <w:rFonts w:eastAsia="宋体" w:cs="宋体"/>
                <w:color w:val="000000"/>
                <w:kern w:val="0"/>
                <w:szCs w:val="21"/>
                <w:lang w:bidi="ar"/>
              </w:rPr>
            </w:pPr>
            <w:r>
              <w:rPr>
                <w:rFonts w:eastAsia="宋体" w:cs="宋体"/>
                <w:color w:val="000000"/>
                <w:kern w:val="0"/>
                <w:szCs w:val="21"/>
                <w:lang w:bidi="ar"/>
              </w:rPr>
              <w:t>其他药事指标章节</w:t>
            </w:r>
          </w:p>
        </w:tc>
        <w:tc>
          <w:tcPr>
            <w:tcW w:w="1134" w:type="dxa"/>
            <w:tcBorders>
              <w:bottom w:val="single" w:color="000000" w:sz="4" w:space="0"/>
            </w:tcBorders>
            <w:shd w:val="clear" w:color="auto" w:fill="auto"/>
            <w:vAlign w:val="center"/>
          </w:tcPr>
          <w:p>
            <w:pPr>
              <w:widowControl/>
              <w:jc w:val="center"/>
              <w:textAlignment w:val="center"/>
              <w:rPr>
                <w:rFonts w:cs="宋体"/>
                <w:color w:val="000000"/>
                <w:szCs w:val="21"/>
              </w:rPr>
            </w:pPr>
            <w:r>
              <w:rPr>
                <w:rFonts w:eastAsia="宋体" w:cs="宋体"/>
                <w:color w:val="000000"/>
                <w:kern w:val="0"/>
                <w:szCs w:val="21"/>
                <w:lang w:bidi="ar"/>
              </w:rPr>
              <w:t>0..1</w:t>
            </w:r>
          </w:p>
        </w:tc>
        <w:tc>
          <w:tcPr>
            <w:tcW w:w="1134" w:type="dxa"/>
            <w:tcBorders>
              <w:bottom w:val="single" w:color="000000" w:sz="4" w:space="0"/>
            </w:tcBorders>
            <w:shd w:val="clear" w:color="auto" w:fill="auto"/>
            <w:vAlign w:val="center"/>
          </w:tcPr>
          <w:p>
            <w:pPr>
              <w:widowControl/>
              <w:jc w:val="center"/>
              <w:textAlignment w:val="center"/>
              <w:rPr>
                <w:rFonts w:eastAsia="宋体" w:cs="宋体"/>
                <w:color w:val="000000"/>
                <w:szCs w:val="21"/>
              </w:rPr>
            </w:pPr>
            <w:r>
              <w:rPr>
                <w:rFonts w:hint="eastAsia" w:eastAsia="宋体" w:cs="宋体"/>
                <w:color w:val="000000"/>
                <w:kern w:val="0"/>
                <w:szCs w:val="21"/>
                <w:lang w:bidi="ar"/>
              </w:rPr>
              <w:t>O</w:t>
            </w:r>
          </w:p>
        </w:tc>
      </w:tr>
    </w:tbl>
    <w:p>
      <w:pPr>
        <w:pStyle w:val="3"/>
        <w:spacing w:before="200" w:after="200" w:line="360" w:lineRule="auto"/>
        <w:rPr>
          <w:rFonts w:cs="Times New Roman" w:asciiTheme="minorHAnsi" w:hAnsiTheme="minorHAnsi" w:eastAsiaTheme="minorEastAsia"/>
          <w:sz w:val="21"/>
          <w:szCs w:val="21"/>
        </w:rPr>
      </w:pPr>
      <w:bookmarkStart w:id="77" w:name="_Toc19583"/>
      <w:r>
        <w:rPr>
          <w:rFonts w:cs="Times New Roman" w:asciiTheme="minorHAnsi" w:hAnsiTheme="minorHAnsi" w:eastAsiaTheme="minorEastAsia"/>
          <w:sz w:val="21"/>
          <w:szCs w:val="21"/>
        </w:rPr>
        <w:t>6  电子药历内容、信息来源及形成方法</w:t>
      </w:r>
      <w:bookmarkEnd w:id="77"/>
    </w:p>
    <w:p>
      <w:pPr>
        <w:adjustRightInd w:val="0"/>
        <w:snapToGrid w:val="0"/>
        <w:ind w:firstLine="413" w:firstLineChars="197"/>
        <w:rPr>
          <w:rFonts w:eastAsia="宋体" w:cs="Times New Roman"/>
          <w:color w:val="000000"/>
          <w:szCs w:val="21"/>
        </w:rPr>
      </w:pPr>
      <w:r>
        <w:rPr>
          <w:rFonts w:eastAsia="宋体" w:cs="Times New Roman"/>
          <w:color w:val="000000"/>
          <w:szCs w:val="21"/>
        </w:rPr>
        <w:t>6.1电子药历中采用医院信息系统中患者ID为唯一患者身份标识，和医院信息系统共享部分文档头信息以确保患者基本信息及其医疗记录的真实性、一致性、连续性、完整性。</w:t>
      </w:r>
    </w:p>
    <w:p>
      <w:pPr>
        <w:adjustRightInd w:val="0"/>
        <w:snapToGrid w:val="0"/>
        <w:ind w:firstLine="413" w:firstLineChars="197"/>
        <w:rPr>
          <w:rFonts w:eastAsia="宋体" w:cs="Times New Roman"/>
          <w:color w:val="000000"/>
          <w:szCs w:val="21"/>
          <w:lang w:eastAsia="zh-Hans"/>
        </w:rPr>
      </w:pPr>
      <w:r>
        <w:rPr>
          <w:rFonts w:eastAsia="宋体" w:cs="Times New Roman"/>
          <w:color w:val="000000"/>
          <w:szCs w:val="21"/>
        </w:rPr>
        <w:t>6.2电子药历中的各项内容根据河南省药学会团体标准《住院患者药历书写基本规范》，由</w:t>
      </w:r>
      <w:r>
        <w:rPr>
          <w:rFonts w:hint="eastAsia" w:eastAsia="宋体" w:cs="Times New Roman"/>
          <w:color w:val="000000"/>
          <w:szCs w:val="21"/>
          <w:lang w:val="en-US" w:eastAsia="zh-CN"/>
        </w:rPr>
        <w:t>入院</w:t>
      </w:r>
      <w:r>
        <w:rPr>
          <w:rFonts w:eastAsia="宋体" w:cs="Times New Roman"/>
          <w:color w:val="000000"/>
          <w:szCs w:val="21"/>
        </w:rPr>
        <w:t>药学评估表、药历首页、药学监护记录和药历小结四个模块构成，可分别通过自动引用、选择引用、自动生成、</w:t>
      </w:r>
      <w:r>
        <w:rPr>
          <w:rFonts w:eastAsia="宋体" w:cs="Times New Roman"/>
          <w:szCs w:val="21"/>
        </w:rPr>
        <w:t>人工</w:t>
      </w:r>
      <w:r>
        <w:rPr>
          <w:rFonts w:eastAsia="宋体" w:cs="Times New Roman"/>
          <w:color w:val="000000"/>
          <w:szCs w:val="21"/>
        </w:rPr>
        <w:t>录入四种方式形成</w:t>
      </w:r>
      <w:r>
        <w:rPr>
          <w:rFonts w:hint="eastAsia" w:eastAsia="宋体" w:cs="Times New Roman"/>
          <w:color w:val="000000"/>
          <w:szCs w:val="21"/>
        </w:rPr>
        <w:t>。其中</w:t>
      </w:r>
      <w:r>
        <w:rPr>
          <w:rFonts w:eastAsia="宋体" w:cs="Times New Roman"/>
          <w:szCs w:val="21"/>
        </w:rPr>
        <w:t>自动引用、选择引用、自动生成部分内容</w:t>
      </w:r>
      <w:r>
        <w:rPr>
          <w:rFonts w:hint="eastAsia" w:eastAsia="宋体" w:cs="Times New Roman"/>
          <w:color w:val="000000"/>
          <w:szCs w:val="21"/>
        </w:rPr>
        <w:t>可以随引用来源的数据变动而变动，人工录入部分也可以设置相应模板，也可以选择引用电子病历及辅助检查结果。</w:t>
      </w:r>
      <w:r>
        <w:rPr>
          <w:rFonts w:hint="eastAsia" w:eastAsia="宋体" w:cs="Times New Roman"/>
          <w:color w:val="000000"/>
          <w:szCs w:val="21"/>
          <w:lang w:val="en-US" w:eastAsia="zh-CN"/>
        </w:rPr>
        <w:t>各项具体</w:t>
      </w:r>
      <w:r>
        <w:rPr>
          <w:rFonts w:eastAsia="宋体" w:cs="Times New Roman"/>
          <w:color w:val="000000"/>
          <w:szCs w:val="21"/>
        </w:rPr>
        <w:t>内容</w:t>
      </w:r>
      <w:r>
        <w:rPr>
          <w:rFonts w:hint="eastAsia" w:eastAsia="宋体" w:cs="Times New Roman"/>
          <w:color w:val="000000"/>
          <w:szCs w:val="21"/>
          <w:lang w:val="en-US" w:eastAsia="zh-CN"/>
        </w:rPr>
        <w:t>分别</w:t>
      </w:r>
      <w:r>
        <w:rPr>
          <w:rFonts w:eastAsia="宋体" w:cs="Times New Roman"/>
          <w:color w:val="000000"/>
          <w:szCs w:val="21"/>
        </w:rPr>
        <w:t>来源</w:t>
      </w:r>
      <w:r>
        <w:rPr>
          <w:rFonts w:hint="eastAsia" w:eastAsia="宋体" w:cs="Times New Roman"/>
          <w:color w:val="000000"/>
          <w:szCs w:val="21"/>
          <w:lang w:val="en-US" w:eastAsia="zh-CN"/>
        </w:rPr>
        <w:t>于</w:t>
      </w:r>
      <w:r>
        <w:rPr>
          <w:rFonts w:eastAsia="宋体" w:cs="Times New Roman"/>
          <w:color w:val="000000"/>
          <w:szCs w:val="21"/>
        </w:rPr>
        <w:t>HIS、</w:t>
      </w:r>
      <w:r>
        <w:rPr>
          <w:rFonts w:hint="eastAsia" w:eastAsia="宋体" w:cs="Times New Roman"/>
          <w:color w:val="000000"/>
          <w:szCs w:val="21"/>
          <w:lang w:val="en-US" w:eastAsia="zh-CN"/>
        </w:rPr>
        <w:t>LIS、PACS、PASS、PIVAS、</w:t>
      </w:r>
      <w:r>
        <w:rPr>
          <w:rFonts w:eastAsia="宋体" w:cs="Times New Roman"/>
          <w:color w:val="000000"/>
          <w:szCs w:val="21"/>
        </w:rPr>
        <w:t>住院临床药师工作站、临床药师</w:t>
      </w:r>
      <w:r>
        <w:rPr>
          <w:rFonts w:hint="eastAsia" w:eastAsia="宋体" w:cs="Times New Roman"/>
          <w:color w:val="000000"/>
          <w:szCs w:val="21"/>
          <w:lang w:val="en-US" w:eastAsia="zh-CN"/>
        </w:rPr>
        <w:t>采集</w:t>
      </w:r>
      <w:r>
        <w:rPr>
          <w:rFonts w:eastAsia="宋体" w:cs="Times New Roman"/>
          <w:color w:val="000000"/>
          <w:szCs w:val="21"/>
        </w:rPr>
        <w:t>，具体见表5.</w:t>
      </w:r>
    </w:p>
    <w:p>
      <w:pPr>
        <w:adjustRightInd w:val="0"/>
        <w:snapToGrid w:val="0"/>
        <w:ind w:firstLine="413" w:firstLineChars="197"/>
        <w:jc w:val="center"/>
        <w:rPr>
          <w:rFonts w:eastAsia="宋体" w:cs="Times New Roman"/>
          <w:color w:val="000000"/>
          <w:szCs w:val="21"/>
        </w:rPr>
      </w:pPr>
      <w:r>
        <w:rPr>
          <w:rFonts w:eastAsia="宋体" w:cs="Times New Roman"/>
          <w:color w:val="000000"/>
          <w:szCs w:val="21"/>
          <w:lang w:eastAsia="zh-Hans"/>
        </w:rPr>
        <w:t>表</w:t>
      </w:r>
      <w:r>
        <w:rPr>
          <w:rFonts w:eastAsia="宋体" w:cs="Times New Roman"/>
          <w:color w:val="000000"/>
          <w:szCs w:val="21"/>
        </w:rPr>
        <w:t>5</w:t>
      </w:r>
      <w:r>
        <w:rPr>
          <w:rFonts w:eastAsia="宋体" w:cs="Times New Roman"/>
          <w:color w:val="000000"/>
          <w:szCs w:val="21"/>
          <w:lang w:eastAsia="zh-Hans"/>
        </w:rPr>
        <w:t>电子药历内容、信息来源及形成方法</w:t>
      </w:r>
    </w:p>
    <w:tbl>
      <w:tblPr>
        <w:tblStyle w:val="16"/>
        <w:tblW w:w="10206" w:type="dxa"/>
        <w:jc w:val="center"/>
        <w:tblLayout w:type="autofit"/>
        <w:tblCellMar>
          <w:top w:w="0" w:type="dxa"/>
          <w:left w:w="108" w:type="dxa"/>
          <w:bottom w:w="0" w:type="dxa"/>
          <w:right w:w="108" w:type="dxa"/>
        </w:tblCellMar>
      </w:tblPr>
      <w:tblGrid>
        <w:gridCol w:w="986"/>
        <w:gridCol w:w="1830"/>
        <w:gridCol w:w="2340"/>
        <w:gridCol w:w="2850"/>
        <w:gridCol w:w="2200"/>
      </w:tblGrid>
      <w:tr>
        <w:tblPrEx>
          <w:tblCellMar>
            <w:top w:w="0" w:type="dxa"/>
            <w:left w:w="108" w:type="dxa"/>
            <w:bottom w:w="0" w:type="dxa"/>
            <w:right w:w="108" w:type="dxa"/>
          </w:tblCellMar>
        </w:tblPrEx>
        <w:trPr>
          <w:trHeight w:val="402" w:hRule="atLeast"/>
          <w:jc w:val="center"/>
        </w:trPr>
        <w:tc>
          <w:tcPr>
            <w:tcW w:w="986" w:type="dxa"/>
            <w:tcBorders>
              <w:top w:val="single" w:color="auto" w:sz="4" w:space="0"/>
              <w:left w:val="nil"/>
              <w:bottom w:val="single" w:color="auto" w:sz="4" w:space="0"/>
              <w:right w:val="nil"/>
            </w:tcBorders>
            <w:shd w:val="clear" w:color="auto" w:fill="auto"/>
            <w:vAlign w:val="center"/>
          </w:tcPr>
          <w:p>
            <w:pPr>
              <w:widowControl/>
              <w:jc w:val="center"/>
              <w:rPr>
                <w:rFonts w:eastAsia="宋体" w:cs="宋体"/>
                <w:b/>
                <w:bCs/>
                <w:color w:val="000000"/>
                <w:kern w:val="0"/>
                <w:sz w:val="18"/>
              </w:rPr>
            </w:pPr>
            <w:r>
              <w:rPr>
                <w:rFonts w:eastAsia="宋体" w:cs="宋体"/>
                <w:b/>
                <w:bCs/>
                <w:color w:val="000000"/>
                <w:kern w:val="0"/>
                <w:sz w:val="18"/>
              </w:rPr>
              <w:t>临床药学文档</w:t>
            </w:r>
          </w:p>
        </w:tc>
        <w:tc>
          <w:tcPr>
            <w:tcW w:w="1830" w:type="dxa"/>
            <w:tcBorders>
              <w:top w:val="single" w:color="auto" w:sz="4" w:space="0"/>
              <w:left w:val="nil"/>
              <w:bottom w:val="single" w:color="auto" w:sz="4" w:space="0"/>
              <w:right w:val="nil"/>
            </w:tcBorders>
            <w:shd w:val="clear" w:color="auto" w:fill="auto"/>
            <w:vAlign w:val="center"/>
          </w:tcPr>
          <w:p>
            <w:pPr>
              <w:widowControl/>
              <w:jc w:val="center"/>
              <w:rPr>
                <w:rFonts w:eastAsia="宋体" w:cs="宋体"/>
                <w:b/>
                <w:bCs/>
                <w:color w:val="000000"/>
                <w:kern w:val="0"/>
                <w:sz w:val="18"/>
              </w:rPr>
            </w:pPr>
            <w:r>
              <w:rPr>
                <w:rFonts w:eastAsia="宋体" w:cs="宋体"/>
                <w:b/>
                <w:bCs/>
                <w:color w:val="000000"/>
                <w:kern w:val="0"/>
                <w:sz w:val="18"/>
              </w:rPr>
              <w:t>文档段</w:t>
            </w:r>
          </w:p>
        </w:tc>
        <w:tc>
          <w:tcPr>
            <w:tcW w:w="2340" w:type="dxa"/>
            <w:tcBorders>
              <w:top w:val="single" w:color="auto" w:sz="4" w:space="0"/>
              <w:left w:val="nil"/>
              <w:bottom w:val="single" w:color="auto" w:sz="4" w:space="0"/>
              <w:right w:val="nil"/>
            </w:tcBorders>
            <w:shd w:val="clear" w:color="auto" w:fill="auto"/>
            <w:vAlign w:val="center"/>
          </w:tcPr>
          <w:p>
            <w:pPr>
              <w:widowControl/>
              <w:jc w:val="center"/>
              <w:rPr>
                <w:rFonts w:eastAsia="宋体" w:cs="宋体"/>
                <w:b/>
                <w:bCs/>
                <w:color w:val="000000"/>
                <w:kern w:val="0"/>
                <w:sz w:val="18"/>
              </w:rPr>
            </w:pPr>
            <w:r>
              <w:rPr>
                <w:rFonts w:eastAsia="宋体" w:cs="宋体"/>
                <w:b/>
                <w:bCs/>
                <w:color w:val="000000"/>
                <w:kern w:val="0"/>
                <w:sz w:val="18"/>
              </w:rPr>
              <w:t>数据组或数据元</w:t>
            </w:r>
          </w:p>
        </w:tc>
        <w:tc>
          <w:tcPr>
            <w:tcW w:w="2850" w:type="dxa"/>
            <w:tcBorders>
              <w:top w:val="single" w:color="auto" w:sz="4" w:space="0"/>
              <w:left w:val="nil"/>
              <w:bottom w:val="single" w:color="auto" w:sz="4" w:space="0"/>
              <w:right w:val="nil"/>
            </w:tcBorders>
            <w:shd w:val="clear" w:color="auto" w:fill="auto"/>
            <w:vAlign w:val="center"/>
          </w:tcPr>
          <w:p>
            <w:pPr>
              <w:widowControl/>
              <w:jc w:val="center"/>
              <w:rPr>
                <w:rFonts w:eastAsia="宋体" w:cs="宋体"/>
                <w:b/>
                <w:bCs/>
                <w:color w:val="000000"/>
                <w:kern w:val="0"/>
                <w:sz w:val="18"/>
              </w:rPr>
            </w:pPr>
            <w:r>
              <w:rPr>
                <w:rFonts w:eastAsia="宋体" w:cs="宋体"/>
                <w:b/>
                <w:bCs/>
                <w:color w:val="000000"/>
                <w:kern w:val="0"/>
                <w:sz w:val="18"/>
              </w:rPr>
              <w:t>信息来源</w:t>
            </w:r>
          </w:p>
        </w:tc>
        <w:tc>
          <w:tcPr>
            <w:tcW w:w="2200" w:type="dxa"/>
            <w:tcBorders>
              <w:top w:val="single" w:color="auto" w:sz="4" w:space="0"/>
              <w:left w:val="nil"/>
              <w:bottom w:val="single" w:color="auto" w:sz="4" w:space="0"/>
              <w:right w:val="nil"/>
            </w:tcBorders>
            <w:shd w:val="clear" w:color="auto" w:fill="auto"/>
            <w:vAlign w:val="center"/>
          </w:tcPr>
          <w:p>
            <w:pPr>
              <w:widowControl/>
              <w:jc w:val="center"/>
              <w:rPr>
                <w:rFonts w:eastAsia="宋体" w:cs="宋体"/>
                <w:b/>
                <w:bCs/>
                <w:color w:val="000000"/>
                <w:kern w:val="0"/>
                <w:sz w:val="18"/>
              </w:rPr>
            </w:pPr>
            <w:r>
              <w:rPr>
                <w:rFonts w:eastAsia="宋体" w:cs="宋体"/>
                <w:b/>
                <w:bCs/>
                <w:color w:val="000000"/>
                <w:kern w:val="0"/>
                <w:sz w:val="18"/>
              </w:rPr>
              <w:t>形成方式</w:t>
            </w:r>
          </w:p>
        </w:tc>
      </w:tr>
      <w:tr>
        <w:tblPrEx>
          <w:tblCellMar>
            <w:top w:w="0" w:type="dxa"/>
            <w:left w:w="108" w:type="dxa"/>
            <w:bottom w:w="0" w:type="dxa"/>
            <w:right w:w="108" w:type="dxa"/>
          </w:tblCellMar>
        </w:tblPrEx>
        <w:trPr>
          <w:trHeight w:val="285" w:hRule="atLeast"/>
          <w:jc w:val="center"/>
        </w:trPr>
        <w:tc>
          <w:tcPr>
            <w:tcW w:w="986"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auto"/>
                <w:kern w:val="0"/>
                <w:sz w:val="18"/>
                <w:szCs w:val="18"/>
              </w:rPr>
              <w:t>入院</w:t>
            </w:r>
            <w:r>
              <w:rPr>
                <w:rFonts w:eastAsia="宋体" w:cs="宋体"/>
                <w:color w:val="auto"/>
                <w:kern w:val="0"/>
                <w:sz w:val="18"/>
                <w:szCs w:val="18"/>
              </w:rPr>
              <w:t>药学评估表</w:t>
            </w: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患者一般情况</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自理能力</w:t>
            </w:r>
          </w:p>
        </w:tc>
        <w:tc>
          <w:tcPr>
            <w:tcW w:w="2850" w:type="dxa"/>
            <w:vMerge w:val="restart"/>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lang w:val="en-US" w:eastAsia="zh-CN"/>
              </w:rPr>
              <w:t>住院</w:t>
            </w:r>
            <w:r>
              <w:rPr>
                <w:rFonts w:hint="eastAsia" w:eastAsia="宋体" w:cs="宋体"/>
                <w:color w:val="000000"/>
                <w:kern w:val="0"/>
                <w:sz w:val="18"/>
                <w:szCs w:val="18"/>
              </w:rPr>
              <w:t>临床药师工作站</w:t>
            </w:r>
          </w:p>
        </w:tc>
        <w:tc>
          <w:tcPr>
            <w:tcW w:w="2200" w:type="dxa"/>
            <w:vMerge w:val="restart"/>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患者自述能力评价</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 xml:space="preserve">护理级别  </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患者生活方式</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烟酒嗜好</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饮食嗜好</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bottom w:val="nil"/>
              <w:right w:val="nil"/>
            </w:tcBorders>
            <w:shd w:val="clear" w:color="auto" w:fill="auto"/>
            <w:vAlign w:val="center"/>
          </w:tcPr>
          <w:p>
            <w:pPr>
              <w:widowControl/>
              <w:jc w:val="center"/>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运动习惯</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437"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既往用药依从性</w:t>
            </w:r>
          </w:p>
        </w:tc>
        <w:tc>
          <w:tcPr>
            <w:tcW w:w="2340" w:type="dxa"/>
            <w:tcBorders>
              <w:top w:val="nil"/>
              <w:left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评估得分</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437"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一般医药知识</w:t>
            </w:r>
          </w:p>
        </w:tc>
        <w:tc>
          <w:tcPr>
            <w:tcW w:w="2340" w:type="dxa"/>
            <w:tcBorders>
              <w:top w:val="nil"/>
              <w:left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评估得分</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429"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评估结论</w:t>
            </w:r>
          </w:p>
        </w:tc>
        <w:tc>
          <w:tcPr>
            <w:tcW w:w="2340" w:type="dxa"/>
            <w:tcBorders>
              <w:top w:val="nil"/>
              <w:left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评估总分</w:t>
            </w:r>
          </w:p>
        </w:tc>
        <w:tc>
          <w:tcPr>
            <w:tcW w:w="285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c>
          <w:tcPr>
            <w:tcW w:w="2200" w:type="dxa"/>
            <w:vMerge w:val="continue"/>
            <w:tcBorders>
              <w:left w:val="nil"/>
              <w:right w:val="nil"/>
            </w:tcBorders>
            <w:shd w:val="clear" w:color="auto" w:fill="auto"/>
            <w:vAlign w:val="center"/>
          </w:tcPr>
          <w:p>
            <w:pPr>
              <w:widowControl/>
              <w:jc w:val="center"/>
              <w:rPr>
                <w:rFonts w:eastAsia="宋体" w:cs="宋体"/>
                <w:color w:val="000000"/>
                <w:kern w:val="0"/>
                <w:sz w:val="18"/>
                <w:szCs w:val="18"/>
              </w:rPr>
            </w:pPr>
          </w:p>
        </w:tc>
      </w:tr>
      <w:tr>
        <w:tblPrEx>
          <w:tblCellMar>
            <w:top w:w="0" w:type="dxa"/>
            <w:left w:w="108" w:type="dxa"/>
            <w:bottom w:w="0" w:type="dxa"/>
            <w:right w:w="108" w:type="dxa"/>
          </w:tblCellMar>
        </w:tblPrEx>
        <w:trPr>
          <w:trHeight w:val="1020" w:hRule="atLeast"/>
          <w:jc w:val="center"/>
        </w:trPr>
        <w:tc>
          <w:tcPr>
            <w:tcW w:w="986"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药历首页</w:t>
            </w:r>
          </w:p>
        </w:tc>
        <w:tc>
          <w:tcPr>
            <w:tcW w:w="1830" w:type="dxa"/>
            <w:vMerge w:val="restart"/>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患者信息</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病区、病历号、ID号、床号、姓名、性别、年龄、职业、民族、身高、体重、</w:t>
            </w:r>
            <w:r>
              <w:rPr>
                <w:rFonts w:hint="eastAsia" w:eastAsia="宋体" w:cs="宋体"/>
                <w:color w:val="000000"/>
                <w:kern w:val="0"/>
                <w:sz w:val="18"/>
                <w:szCs w:val="18"/>
              </w:rPr>
              <w:t>付费方式</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HIS-入院记录-患者信息、生命体征章节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BMI</w:t>
            </w:r>
          </w:p>
        </w:tc>
        <w:tc>
          <w:tcPr>
            <w:tcW w:w="2850" w:type="dxa"/>
            <w:tcBorders>
              <w:top w:val="nil"/>
              <w:left w:val="nil"/>
              <w:bottom w:val="nil"/>
              <w:right w:val="nil"/>
            </w:tcBorders>
            <w:shd w:val="clear" w:color="auto" w:fill="auto"/>
            <w:vAlign w:val="center"/>
          </w:tcPr>
          <w:p>
            <w:pPr>
              <w:widowControl/>
              <w:jc w:val="center"/>
              <w:rPr>
                <w:rFonts w:hint="default" w:eastAsia="宋体" w:cs="宋体"/>
                <w:color w:val="000000"/>
                <w:kern w:val="0"/>
                <w:sz w:val="18"/>
                <w:szCs w:val="18"/>
                <w:lang w:val="en-US" w:eastAsia="zh-CN"/>
              </w:rPr>
            </w:pP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自动生成</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监护分级结果</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lang w:val="en-US" w:eastAsia="zh-CN"/>
              </w:rPr>
              <w:t>住院</w:t>
            </w:r>
            <w:r>
              <w:rPr>
                <w:rFonts w:eastAsia="宋体" w:cs="宋体"/>
                <w:color w:val="000000"/>
                <w:kern w:val="0"/>
                <w:sz w:val="18"/>
                <w:szCs w:val="18"/>
              </w:rPr>
              <w:t>临床药师工作站</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w:t>
            </w:r>
            <w:r>
              <w:rPr>
                <w:rFonts w:hint="eastAsia" w:eastAsia="宋体" w:cs="宋体"/>
                <w:color w:val="000000"/>
                <w:kern w:val="0"/>
                <w:sz w:val="18"/>
                <w:szCs w:val="18"/>
              </w:rPr>
              <w:t>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主诉、不良嗜好、入院诊断</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HIS-入院记录-主诉、个人史章节、主要健康问题章节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个人史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HIS-入院记录-个人史章节、预防接种史章节、月经史章节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家族史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HIS-入院记录-现病史章节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现病史及现病史用药汇总</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现病史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HIS-入院记录-现病史章节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用药汇总</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既往史及</w:t>
            </w:r>
            <w:r>
              <w:rPr>
                <w:rFonts w:hint="eastAsia" w:eastAsia="宋体" w:cs="宋体"/>
                <w:color w:val="000000"/>
                <w:kern w:val="0"/>
                <w:sz w:val="18"/>
                <w:szCs w:val="18"/>
              </w:rPr>
              <w:t>既往</w:t>
            </w:r>
            <w:r>
              <w:rPr>
                <w:rFonts w:eastAsia="宋体" w:cs="宋体"/>
                <w:color w:val="000000"/>
                <w:kern w:val="0"/>
                <w:sz w:val="18"/>
                <w:szCs w:val="18"/>
              </w:rPr>
              <w:t>史用药汇总</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既往史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HIS-入院记录-既往史章节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用药汇总</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过敏史及处置史</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过敏史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HIS-入院记录-过敏史章节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处置史</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初始药物治疗方案汇总</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用药医嘱信息</w:t>
            </w:r>
            <w:r>
              <w:rPr>
                <w:rFonts w:hint="eastAsia" w:eastAsia="宋体" w:cs="宋体"/>
                <w:color w:val="000000"/>
                <w:kern w:val="0"/>
                <w:sz w:val="18"/>
                <w:szCs w:val="18"/>
              </w:rPr>
              <w:t>（含中药）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HIS-病程记录-医嘱章节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患者自带药物信息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药学评估结果</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药学评估结论等</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lang w:val="en-US" w:eastAsia="zh-CN"/>
              </w:rPr>
              <w:t>住院</w:t>
            </w:r>
            <w:r>
              <w:rPr>
                <w:rFonts w:eastAsia="宋体" w:cs="宋体"/>
                <w:color w:val="000000"/>
                <w:kern w:val="0"/>
                <w:sz w:val="18"/>
                <w:szCs w:val="18"/>
              </w:rPr>
              <w:t>临床药师工作站</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药学监护计划</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病情变化</w:t>
            </w:r>
            <w:r>
              <w:rPr>
                <w:rFonts w:hint="eastAsia" w:eastAsia="宋体" w:cs="宋体"/>
                <w:color w:val="000000"/>
                <w:kern w:val="0"/>
                <w:sz w:val="18"/>
                <w:szCs w:val="18"/>
              </w:rPr>
              <w:t>（含中医）</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合理用药</w:t>
            </w:r>
            <w:r>
              <w:rPr>
                <w:rFonts w:hint="eastAsia" w:eastAsia="宋体" w:cs="宋体"/>
                <w:color w:val="000000"/>
                <w:kern w:val="0"/>
                <w:sz w:val="18"/>
                <w:szCs w:val="18"/>
                <w:lang w:val="en-US" w:eastAsia="zh-CN"/>
              </w:rPr>
              <w:t>审核</w:t>
            </w:r>
            <w:r>
              <w:rPr>
                <w:rFonts w:eastAsia="宋体" w:cs="宋体"/>
                <w:color w:val="000000"/>
                <w:kern w:val="0"/>
                <w:sz w:val="18"/>
                <w:szCs w:val="18"/>
              </w:rPr>
              <w:t>情况（含中药、PIVAS内容）</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医保费用情况</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其他药事管理指标</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药学监护记录</w:t>
            </w: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时间</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日期、第N天</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HIS-病程记录-文档活动信息（文档机器时间）</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生命体征</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体温、呼吸、血压、心率</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HIS-入院记录-生命体征章节</w:t>
            </w:r>
          </w:p>
          <w:p>
            <w:pPr>
              <w:widowControl/>
              <w:jc w:val="center"/>
              <w:rPr>
                <w:rFonts w:eastAsia="宋体" w:cs="宋体"/>
                <w:color w:val="000000"/>
                <w:kern w:val="0"/>
                <w:sz w:val="18"/>
                <w:szCs w:val="18"/>
              </w:rPr>
            </w:pPr>
            <w:r>
              <w:rPr>
                <w:rFonts w:eastAsia="宋体" w:cs="宋体"/>
                <w:color w:val="000000"/>
                <w:kern w:val="0"/>
                <w:sz w:val="18"/>
                <w:szCs w:val="18"/>
              </w:rPr>
              <w:t>HIS-护理计划-护理记录章节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监护计划执行情况</w:t>
            </w:r>
          </w:p>
        </w:tc>
        <w:tc>
          <w:tcPr>
            <w:tcW w:w="2340" w:type="dxa"/>
            <w:tcBorders>
              <w:top w:val="nil"/>
              <w:left w:val="nil"/>
              <w:bottom w:val="nil"/>
              <w:right w:val="nil"/>
            </w:tcBorders>
            <w:shd w:val="clear" w:color="auto" w:fill="auto"/>
            <w:vAlign w:val="center"/>
          </w:tcPr>
          <w:p>
            <w:pPr>
              <w:widowControl/>
              <w:rPr>
                <w:rFonts w:eastAsia="宋体" w:cs="宋体"/>
                <w:color w:val="auto"/>
                <w:kern w:val="0"/>
                <w:sz w:val="18"/>
                <w:szCs w:val="18"/>
              </w:rPr>
            </w:pPr>
            <w:r>
              <w:rPr>
                <w:rFonts w:eastAsia="宋体" w:cs="宋体"/>
                <w:color w:val="auto"/>
                <w:kern w:val="0"/>
                <w:sz w:val="18"/>
                <w:szCs w:val="18"/>
              </w:rPr>
              <w:t>病情变化</w:t>
            </w:r>
            <w:r>
              <w:rPr>
                <w:rFonts w:hint="eastAsia" w:eastAsia="宋体" w:cs="宋体"/>
                <w:color w:val="auto"/>
                <w:kern w:val="0"/>
                <w:sz w:val="18"/>
                <w:szCs w:val="18"/>
              </w:rPr>
              <w:t>-症状体征</w:t>
            </w:r>
          </w:p>
          <w:p>
            <w:pPr>
              <w:widowControl/>
              <w:rPr>
                <w:rFonts w:eastAsia="宋体" w:cs="宋体"/>
                <w:color w:val="auto"/>
                <w:kern w:val="0"/>
                <w:sz w:val="18"/>
                <w:szCs w:val="18"/>
              </w:rPr>
            </w:pPr>
            <w:r>
              <w:rPr>
                <w:rFonts w:hint="eastAsia" w:eastAsia="宋体" w:cs="宋体"/>
                <w:color w:val="auto"/>
                <w:kern w:val="0"/>
                <w:sz w:val="18"/>
                <w:szCs w:val="18"/>
              </w:rPr>
              <w:t>病情变化-检验</w:t>
            </w:r>
          </w:p>
          <w:p>
            <w:pPr>
              <w:widowControl/>
              <w:rPr>
                <w:rFonts w:hint="eastAsia" w:eastAsia="宋体" w:cs="宋体"/>
                <w:color w:val="auto"/>
                <w:kern w:val="0"/>
                <w:sz w:val="18"/>
                <w:szCs w:val="18"/>
              </w:rPr>
            </w:pPr>
            <w:r>
              <w:rPr>
                <w:rFonts w:hint="eastAsia" w:eastAsia="宋体" w:cs="宋体"/>
                <w:color w:val="auto"/>
                <w:kern w:val="0"/>
                <w:sz w:val="18"/>
                <w:szCs w:val="18"/>
              </w:rPr>
              <w:t>病情变化-检查</w:t>
            </w:r>
          </w:p>
        </w:tc>
        <w:tc>
          <w:tcPr>
            <w:tcW w:w="2850" w:type="dxa"/>
            <w:tcBorders>
              <w:top w:val="nil"/>
              <w:left w:val="nil"/>
              <w:bottom w:val="nil"/>
              <w:right w:val="nil"/>
            </w:tcBorders>
            <w:shd w:val="clear" w:color="auto" w:fill="auto"/>
            <w:vAlign w:val="center"/>
          </w:tcPr>
          <w:p>
            <w:pPr>
              <w:widowControl/>
              <w:jc w:val="center"/>
              <w:rPr>
                <w:rFonts w:eastAsia="宋体" w:cs="宋体"/>
                <w:color w:val="auto"/>
                <w:kern w:val="0"/>
                <w:sz w:val="18"/>
                <w:szCs w:val="18"/>
              </w:rPr>
            </w:pPr>
            <w:r>
              <w:rPr>
                <w:rFonts w:eastAsia="宋体" w:cs="宋体"/>
                <w:color w:val="auto"/>
                <w:kern w:val="0"/>
                <w:sz w:val="18"/>
                <w:szCs w:val="18"/>
              </w:rPr>
              <w:t>临床药师</w:t>
            </w:r>
          </w:p>
          <w:p>
            <w:pPr>
              <w:widowControl/>
              <w:jc w:val="center"/>
              <w:rPr>
                <w:rFonts w:hint="eastAsia" w:eastAsia="宋体" w:cs="宋体"/>
                <w:color w:val="auto"/>
                <w:kern w:val="0"/>
                <w:sz w:val="18"/>
                <w:szCs w:val="18"/>
              </w:rPr>
            </w:pPr>
            <w:r>
              <w:rPr>
                <w:rFonts w:eastAsia="宋体" w:cs="宋体"/>
                <w:color w:val="auto"/>
                <w:kern w:val="0"/>
                <w:sz w:val="18"/>
                <w:szCs w:val="18"/>
              </w:rPr>
              <w:t>LIS</w:t>
            </w:r>
          </w:p>
          <w:p>
            <w:pPr>
              <w:widowControl/>
              <w:jc w:val="center"/>
              <w:rPr>
                <w:rFonts w:hint="eastAsia" w:eastAsia="宋体" w:cs="宋体"/>
                <w:color w:val="auto"/>
                <w:kern w:val="0"/>
                <w:sz w:val="18"/>
                <w:szCs w:val="18"/>
              </w:rPr>
            </w:pPr>
            <w:r>
              <w:rPr>
                <w:rFonts w:eastAsia="宋体" w:cs="宋体"/>
                <w:color w:val="auto"/>
                <w:kern w:val="0"/>
                <w:sz w:val="18"/>
                <w:szCs w:val="18"/>
              </w:rPr>
              <w:t>PACS</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p>
            <w:pPr>
              <w:widowControl/>
              <w:jc w:val="center"/>
              <w:rPr>
                <w:rFonts w:eastAsia="宋体" w:cs="宋体"/>
                <w:color w:val="000000"/>
                <w:kern w:val="0"/>
                <w:sz w:val="18"/>
                <w:szCs w:val="18"/>
              </w:rPr>
            </w:pPr>
            <w:r>
              <w:rPr>
                <w:rFonts w:hint="eastAsia" w:eastAsia="宋体" w:cs="宋体"/>
                <w:color w:val="000000"/>
                <w:kern w:val="0"/>
                <w:sz w:val="18"/>
                <w:szCs w:val="18"/>
              </w:rPr>
              <w:t>选择引用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auto"/>
                <w:kern w:val="0"/>
                <w:sz w:val="18"/>
                <w:szCs w:val="18"/>
              </w:rPr>
            </w:pPr>
            <w:r>
              <w:rPr>
                <w:rFonts w:eastAsia="宋体" w:cs="宋体"/>
                <w:color w:val="auto"/>
                <w:kern w:val="0"/>
                <w:sz w:val="18"/>
                <w:szCs w:val="18"/>
              </w:rPr>
              <w:t>合理用药</w:t>
            </w:r>
            <w:r>
              <w:rPr>
                <w:rFonts w:hint="eastAsia" w:eastAsia="宋体" w:cs="宋体"/>
                <w:color w:val="auto"/>
                <w:kern w:val="0"/>
                <w:sz w:val="18"/>
                <w:szCs w:val="18"/>
              </w:rPr>
              <w:t>审核</w:t>
            </w:r>
            <w:r>
              <w:rPr>
                <w:rFonts w:eastAsia="宋体" w:cs="宋体"/>
                <w:color w:val="auto"/>
                <w:kern w:val="0"/>
                <w:sz w:val="18"/>
                <w:szCs w:val="18"/>
              </w:rPr>
              <w:t>情况</w:t>
            </w:r>
          </w:p>
        </w:tc>
        <w:tc>
          <w:tcPr>
            <w:tcW w:w="2850" w:type="dxa"/>
            <w:tcBorders>
              <w:top w:val="nil"/>
              <w:left w:val="nil"/>
              <w:bottom w:val="nil"/>
              <w:right w:val="nil"/>
            </w:tcBorders>
            <w:shd w:val="clear" w:color="auto" w:fill="auto"/>
            <w:vAlign w:val="center"/>
          </w:tcPr>
          <w:p>
            <w:pPr>
              <w:widowControl/>
              <w:jc w:val="center"/>
              <w:rPr>
                <w:rFonts w:eastAsia="宋体" w:cs="宋体"/>
                <w:color w:val="auto"/>
                <w:kern w:val="0"/>
                <w:sz w:val="18"/>
                <w:szCs w:val="18"/>
              </w:rPr>
            </w:pPr>
            <w:r>
              <w:rPr>
                <w:rFonts w:eastAsia="宋体" w:cs="宋体"/>
                <w:color w:val="auto"/>
                <w:kern w:val="0"/>
                <w:sz w:val="18"/>
                <w:szCs w:val="18"/>
              </w:rPr>
              <w:t>PASS</w:t>
            </w:r>
            <w:r>
              <w:rPr>
                <w:rFonts w:hint="eastAsia" w:eastAsia="宋体" w:cs="宋体"/>
                <w:color w:val="auto"/>
                <w:kern w:val="0"/>
                <w:sz w:val="18"/>
                <w:szCs w:val="18"/>
              </w:rPr>
              <w:t>、</w:t>
            </w:r>
            <w:r>
              <w:rPr>
                <w:rFonts w:eastAsia="宋体" w:cs="宋体"/>
                <w:color w:val="auto"/>
                <w:kern w:val="0"/>
                <w:sz w:val="18"/>
                <w:szCs w:val="18"/>
              </w:rPr>
              <w:t>PIVAS</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医保费用情况</w:t>
            </w:r>
          </w:p>
        </w:tc>
        <w:tc>
          <w:tcPr>
            <w:tcW w:w="2850" w:type="dxa"/>
            <w:tcBorders>
              <w:top w:val="nil"/>
              <w:left w:val="nil"/>
              <w:bottom w:val="nil"/>
              <w:right w:val="nil"/>
            </w:tcBorders>
            <w:shd w:val="clear" w:color="auto" w:fill="auto"/>
            <w:vAlign w:val="center"/>
          </w:tcPr>
          <w:p>
            <w:pPr>
              <w:widowControl/>
              <w:jc w:val="center"/>
              <w:rPr>
                <w:rFonts w:hint="default" w:eastAsia="宋体" w:cs="宋体"/>
                <w:color w:val="000000"/>
                <w:kern w:val="0"/>
                <w:sz w:val="18"/>
                <w:szCs w:val="18"/>
                <w:lang w:val="en-US"/>
              </w:rPr>
            </w:pPr>
            <w:r>
              <w:rPr>
                <w:rFonts w:hint="eastAsia" w:eastAsia="宋体" w:cs="宋体"/>
                <w:color w:val="000000"/>
                <w:kern w:val="0"/>
                <w:sz w:val="18"/>
                <w:szCs w:val="18"/>
                <w:lang w:val="en-US" w:eastAsia="zh-CN"/>
              </w:rPr>
              <w:t>HIS</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其他药事管理指标</w:t>
            </w:r>
          </w:p>
        </w:tc>
        <w:tc>
          <w:tcPr>
            <w:tcW w:w="2850" w:type="dxa"/>
            <w:tcBorders>
              <w:top w:val="nil"/>
              <w:left w:val="nil"/>
              <w:bottom w:val="nil"/>
              <w:right w:val="nil"/>
            </w:tcBorders>
            <w:shd w:val="clear" w:color="auto" w:fill="auto"/>
            <w:vAlign w:val="center"/>
          </w:tcPr>
          <w:p>
            <w:pPr>
              <w:widowControl/>
              <w:jc w:val="center"/>
              <w:rPr>
                <w:rFonts w:hint="default" w:eastAsia="宋体" w:cs="宋体"/>
                <w:color w:val="000000"/>
                <w:kern w:val="0"/>
                <w:sz w:val="18"/>
                <w:szCs w:val="18"/>
                <w:lang w:val="en-US" w:eastAsia="zh-CN"/>
              </w:rPr>
            </w:pPr>
            <w:r>
              <w:rPr>
                <w:rFonts w:hint="eastAsia" w:eastAsia="宋体" w:cs="宋体"/>
                <w:color w:val="000000"/>
                <w:kern w:val="0"/>
                <w:sz w:val="18"/>
                <w:szCs w:val="18"/>
                <w:lang w:val="en-US" w:eastAsia="zh-CN"/>
              </w:rPr>
              <w:t>HIS</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559"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药物治疗方案调整</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药品医嘱信息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HIS-病程记录-医嘱章节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559" w:hRule="atLeast"/>
          <w:jc w:val="center"/>
        </w:trPr>
        <w:tc>
          <w:tcPr>
            <w:tcW w:w="986"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药学监护计划调整</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559" w:hRule="atLeast"/>
          <w:jc w:val="center"/>
        </w:trPr>
        <w:tc>
          <w:tcPr>
            <w:tcW w:w="986" w:type="dxa"/>
            <w:vMerge w:val="continue"/>
            <w:tcBorders>
              <w:top w:val="nil"/>
              <w:left w:val="nil"/>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出院用药教育</w:t>
            </w:r>
          </w:p>
        </w:tc>
        <w:tc>
          <w:tcPr>
            <w:tcW w:w="234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765" w:hRule="atLeast"/>
          <w:jc w:val="center"/>
        </w:trPr>
        <w:tc>
          <w:tcPr>
            <w:tcW w:w="986" w:type="dxa"/>
            <w:vMerge w:val="restart"/>
            <w:tcBorders>
              <w:top w:val="nil"/>
              <w:left w:val="nil"/>
              <w:bottom w:val="single" w:color="auto" w:sz="4" w:space="0"/>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药历小结</w:t>
            </w:r>
            <w:r>
              <w:rPr>
                <w:rFonts w:hint="eastAsia" w:eastAsia="宋体" w:cs="宋体"/>
                <w:color w:val="000000"/>
                <w:kern w:val="0"/>
                <w:sz w:val="18"/>
                <w:szCs w:val="18"/>
              </w:rPr>
              <w:t>*</w:t>
            </w:r>
          </w:p>
        </w:tc>
        <w:tc>
          <w:tcPr>
            <w:tcW w:w="183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出院信息</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入院日期、出院日期、住院天数、出院诊断</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HIS-出院记录-入院诊断章、出院诊断章节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p>
            <w:pPr>
              <w:widowControl/>
              <w:jc w:val="center"/>
              <w:rPr>
                <w:rFonts w:hint="eastAsia" w:eastAsia="宋体" w:cs="宋体"/>
                <w:color w:val="000000"/>
                <w:kern w:val="0"/>
                <w:sz w:val="18"/>
                <w:szCs w:val="18"/>
                <w:lang w:eastAsia="zh-CN"/>
              </w:rPr>
            </w:pPr>
            <w:r>
              <w:rPr>
                <w:rFonts w:hint="eastAsia" w:eastAsia="宋体" w:cs="宋体"/>
                <w:color w:val="000000"/>
                <w:kern w:val="0"/>
                <w:sz w:val="18"/>
                <w:szCs w:val="18"/>
                <w:lang w:eastAsia="zh-CN"/>
              </w:rPr>
              <w:t>（</w:t>
            </w:r>
            <w:r>
              <w:rPr>
                <w:rFonts w:hint="eastAsia" w:eastAsia="宋体" w:cs="宋体"/>
                <w:color w:val="000000"/>
                <w:kern w:val="0"/>
                <w:sz w:val="18"/>
                <w:szCs w:val="18"/>
                <w:lang w:val="en-US" w:eastAsia="zh-CN"/>
              </w:rPr>
              <w:t>转科时</w:t>
            </w:r>
            <w:r>
              <w:rPr>
                <w:rFonts w:hint="eastAsia" w:eastAsia="宋体" w:cs="宋体"/>
                <w:color w:val="000000"/>
                <w:kern w:val="0"/>
                <w:sz w:val="18"/>
                <w:szCs w:val="18"/>
              </w:rPr>
              <w:t>人工录入</w:t>
            </w:r>
            <w:r>
              <w:rPr>
                <w:rFonts w:hint="eastAsia" w:eastAsia="宋体" w:cs="宋体"/>
                <w:color w:val="000000"/>
                <w:kern w:val="0"/>
                <w:sz w:val="18"/>
                <w:szCs w:val="18"/>
                <w:lang w:eastAsia="zh-CN"/>
              </w:rPr>
              <w:t>）</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住院期间用药汇总</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药品医嘱信息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HIS-病程记录-医嘱章节</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nil"/>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患者自带药物信息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临床药师</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人工录入</w:t>
            </w:r>
          </w:p>
        </w:tc>
      </w:tr>
      <w:tr>
        <w:tblPrEx>
          <w:tblCellMar>
            <w:top w:w="0" w:type="dxa"/>
            <w:left w:w="108" w:type="dxa"/>
            <w:bottom w:w="0" w:type="dxa"/>
            <w:right w:w="108" w:type="dxa"/>
          </w:tblCellMar>
        </w:tblPrEx>
        <w:trPr>
          <w:trHeight w:val="285" w:hRule="atLeast"/>
          <w:jc w:val="center"/>
        </w:trPr>
        <w:tc>
          <w:tcPr>
            <w:tcW w:w="986"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1830" w:type="dxa"/>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合理用药</w:t>
            </w:r>
            <w:r>
              <w:rPr>
                <w:rFonts w:hint="eastAsia" w:eastAsia="宋体" w:cs="宋体"/>
                <w:color w:val="000000"/>
                <w:kern w:val="0"/>
                <w:sz w:val="18"/>
                <w:szCs w:val="18"/>
                <w:lang w:val="en-US" w:eastAsia="zh-CN"/>
              </w:rPr>
              <w:t>审核</w:t>
            </w:r>
            <w:r>
              <w:rPr>
                <w:rFonts w:eastAsia="宋体" w:cs="宋体"/>
                <w:color w:val="000000"/>
                <w:kern w:val="0"/>
                <w:sz w:val="18"/>
                <w:szCs w:val="18"/>
              </w:rPr>
              <w:t>信息</w:t>
            </w:r>
          </w:p>
        </w:tc>
        <w:tc>
          <w:tcPr>
            <w:tcW w:w="2340" w:type="dxa"/>
            <w:tcBorders>
              <w:top w:val="nil"/>
              <w:left w:val="nil"/>
              <w:bottom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药品医嘱审核信息</w:t>
            </w:r>
          </w:p>
        </w:tc>
        <w:tc>
          <w:tcPr>
            <w:tcW w:w="285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auto"/>
                <w:kern w:val="0"/>
                <w:sz w:val="18"/>
                <w:szCs w:val="18"/>
              </w:rPr>
              <w:t>PASS</w:t>
            </w:r>
            <w:r>
              <w:rPr>
                <w:rFonts w:hint="eastAsia" w:eastAsia="宋体" w:cs="宋体"/>
                <w:color w:val="auto"/>
                <w:kern w:val="0"/>
                <w:sz w:val="18"/>
                <w:szCs w:val="18"/>
              </w:rPr>
              <w:t>、</w:t>
            </w:r>
            <w:r>
              <w:rPr>
                <w:rFonts w:eastAsia="宋体" w:cs="宋体"/>
                <w:color w:val="auto"/>
                <w:kern w:val="0"/>
                <w:sz w:val="18"/>
                <w:szCs w:val="18"/>
              </w:rPr>
              <w:t>PIVAS</w:t>
            </w:r>
          </w:p>
        </w:tc>
        <w:tc>
          <w:tcPr>
            <w:tcW w:w="2200" w:type="dxa"/>
            <w:tcBorders>
              <w:top w:val="nil"/>
              <w:left w:val="nil"/>
              <w:bottom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选择引用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1830" w:type="dxa"/>
            <w:vMerge w:val="restart"/>
            <w:tcBorders>
              <w:top w:val="nil"/>
              <w:left w:val="nil"/>
              <w:bottom w:val="single" w:color="auto" w:sz="4" w:space="0"/>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医保费用指标汇总</w:t>
            </w:r>
          </w:p>
        </w:tc>
        <w:tc>
          <w:tcPr>
            <w:tcW w:w="2340" w:type="dxa"/>
            <w:tcBorders>
              <w:top w:val="nil"/>
              <w:left w:val="nil"/>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住院患者药品使用金额占比</w:t>
            </w:r>
          </w:p>
        </w:tc>
        <w:tc>
          <w:tcPr>
            <w:tcW w:w="2850" w:type="dxa"/>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lang w:val="en-US" w:eastAsia="zh-CN"/>
              </w:rPr>
              <w:t>住院</w:t>
            </w:r>
            <w:r>
              <w:rPr>
                <w:rFonts w:eastAsia="宋体" w:cs="宋体"/>
                <w:color w:val="000000"/>
                <w:kern w:val="0"/>
                <w:sz w:val="18"/>
                <w:szCs w:val="18"/>
              </w:rPr>
              <w:t>临床药师工作站</w:t>
            </w:r>
          </w:p>
        </w:tc>
        <w:tc>
          <w:tcPr>
            <w:tcW w:w="2200" w:type="dxa"/>
            <w:tcBorders>
              <w:top w:val="nil"/>
              <w:left w:val="nil"/>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r>
        <w:tblPrEx>
          <w:tblCellMar>
            <w:top w:w="0" w:type="dxa"/>
            <w:left w:w="108" w:type="dxa"/>
            <w:bottom w:w="0" w:type="dxa"/>
            <w:right w:w="108" w:type="dxa"/>
          </w:tblCellMar>
        </w:tblPrEx>
        <w:trPr>
          <w:trHeight w:val="510" w:hRule="atLeast"/>
          <w:jc w:val="center"/>
        </w:trPr>
        <w:tc>
          <w:tcPr>
            <w:tcW w:w="986"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1830" w:type="dxa"/>
            <w:vMerge w:val="continue"/>
            <w:tcBorders>
              <w:top w:val="nil"/>
              <w:left w:val="nil"/>
              <w:bottom w:val="single" w:color="auto" w:sz="4" w:space="0"/>
              <w:right w:val="nil"/>
            </w:tcBorders>
            <w:shd w:val="clear" w:color="auto" w:fill="auto"/>
            <w:vAlign w:val="center"/>
          </w:tcPr>
          <w:p>
            <w:pPr>
              <w:widowControl/>
              <w:jc w:val="left"/>
              <w:rPr>
                <w:rFonts w:eastAsia="宋体" w:cs="宋体"/>
                <w:color w:val="000000"/>
                <w:kern w:val="0"/>
                <w:sz w:val="18"/>
                <w:szCs w:val="18"/>
              </w:rPr>
            </w:pPr>
          </w:p>
        </w:tc>
        <w:tc>
          <w:tcPr>
            <w:tcW w:w="2340" w:type="dxa"/>
            <w:tcBorders>
              <w:top w:val="nil"/>
              <w:left w:val="nil"/>
              <w:bottom w:val="single" w:color="auto" w:sz="4" w:space="0"/>
              <w:right w:val="nil"/>
            </w:tcBorders>
            <w:shd w:val="clear" w:color="auto" w:fill="auto"/>
            <w:vAlign w:val="center"/>
          </w:tcPr>
          <w:p>
            <w:pPr>
              <w:widowControl/>
              <w:rPr>
                <w:rFonts w:eastAsia="宋体" w:cs="宋体"/>
                <w:color w:val="000000"/>
                <w:kern w:val="0"/>
                <w:sz w:val="18"/>
                <w:szCs w:val="18"/>
              </w:rPr>
            </w:pPr>
            <w:r>
              <w:rPr>
                <w:rFonts w:eastAsia="宋体" w:cs="宋体"/>
                <w:color w:val="000000"/>
                <w:kern w:val="0"/>
                <w:sz w:val="18"/>
                <w:szCs w:val="18"/>
              </w:rPr>
              <w:t>住院患者自费药品使用金额占比</w:t>
            </w:r>
          </w:p>
        </w:tc>
        <w:tc>
          <w:tcPr>
            <w:tcW w:w="2850" w:type="dxa"/>
            <w:tcBorders>
              <w:top w:val="nil"/>
              <w:left w:val="nil"/>
              <w:bottom w:val="single" w:color="auto" w:sz="4" w:space="0"/>
              <w:right w:val="nil"/>
            </w:tcBorders>
            <w:shd w:val="clear" w:color="auto" w:fill="auto"/>
            <w:vAlign w:val="center"/>
          </w:tcPr>
          <w:p>
            <w:pPr>
              <w:widowControl/>
              <w:jc w:val="center"/>
              <w:rPr>
                <w:rFonts w:eastAsia="宋体" w:cs="宋体"/>
                <w:color w:val="000000"/>
                <w:kern w:val="0"/>
                <w:sz w:val="18"/>
                <w:szCs w:val="18"/>
              </w:rPr>
            </w:pPr>
            <w:r>
              <w:rPr>
                <w:rFonts w:hint="eastAsia" w:eastAsia="宋体" w:cs="宋体"/>
                <w:color w:val="000000"/>
                <w:kern w:val="0"/>
                <w:sz w:val="18"/>
                <w:szCs w:val="18"/>
                <w:lang w:val="en-US" w:eastAsia="zh-CN"/>
              </w:rPr>
              <w:t>住院</w:t>
            </w:r>
            <w:r>
              <w:rPr>
                <w:rFonts w:eastAsia="宋体" w:cs="宋体"/>
                <w:color w:val="000000"/>
                <w:kern w:val="0"/>
                <w:sz w:val="18"/>
                <w:szCs w:val="18"/>
              </w:rPr>
              <w:t>临床药师工作站</w:t>
            </w:r>
          </w:p>
        </w:tc>
        <w:tc>
          <w:tcPr>
            <w:tcW w:w="2200" w:type="dxa"/>
            <w:tcBorders>
              <w:top w:val="nil"/>
              <w:left w:val="nil"/>
              <w:bottom w:val="single" w:color="auto" w:sz="4" w:space="0"/>
              <w:right w:val="nil"/>
            </w:tcBorders>
            <w:shd w:val="clear" w:color="auto" w:fill="auto"/>
            <w:vAlign w:val="center"/>
          </w:tcPr>
          <w:p>
            <w:pPr>
              <w:widowControl/>
              <w:jc w:val="center"/>
              <w:rPr>
                <w:rFonts w:eastAsia="宋体" w:cs="宋体"/>
                <w:color w:val="000000"/>
                <w:kern w:val="0"/>
                <w:sz w:val="18"/>
                <w:szCs w:val="18"/>
              </w:rPr>
            </w:pPr>
            <w:r>
              <w:rPr>
                <w:rFonts w:eastAsia="宋体" w:cs="宋体"/>
                <w:color w:val="000000"/>
                <w:kern w:val="0"/>
                <w:sz w:val="18"/>
                <w:szCs w:val="18"/>
              </w:rPr>
              <w:t>自动引用</w:t>
            </w:r>
          </w:p>
        </w:tc>
      </w:tr>
    </w:tbl>
    <w:p>
      <w:pPr>
        <w:adjustRightInd w:val="0"/>
        <w:snapToGrid w:val="0"/>
        <w:ind w:firstLine="413" w:firstLineChars="197"/>
        <w:rPr>
          <w:rFonts w:eastAsia="宋体" w:cs="Times New Roman"/>
          <w:color w:val="000000"/>
          <w:szCs w:val="21"/>
        </w:rPr>
      </w:pPr>
      <w:r>
        <w:rPr>
          <w:rFonts w:hint="eastAsia" w:eastAsia="宋体" w:cs="Times New Roman"/>
          <w:color w:val="000000"/>
          <w:szCs w:val="21"/>
        </w:rPr>
        <w:t>*注：药历小结部分内容，如患者转科，即为转科药历小结，对应转科相关内容。</w:t>
      </w:r>
    </w:p>
    <w:p>
      <w:pPr>
        <w:adjustRightInd w:val="0"/>
        <w:snapToGrid w:val="0"/>
        <w:ind w:firstLine="413" w:firstLineChars="197"/>
        <w:rPr>
          <w:rFonts w:eastAsia="宋体" w:cs="Times New Roman"/>
          <w:color w:val="000000"/>
          <w:szCs w:val="21"/>
        </w:rPr>
      </w:pPr>
      <w:r>
        <w:rPr>
          <w:rFonts w:eastAsia="宋体" w:cs="Times New Roman"/>
          <w:color w:val="000000"/>
          <w:szCs w:val="21"/>
        </w:rPr>
        <w:t>6.3引用的信息数据应保持原有的数据结构，尽可能采用结构化数据来源，具体格式参照国家电子病历共享文档规范（WS/T 500-2016）。</w:t>
      </w:r>
      <w:bookmarkEnd w:id="23"/>
      <w:bookmarkEnd w:id="24"/>
    </w:p>
    <w:p>
      <w:pPr>
        <w:rPr>
          <w:rFonts w:cs="Times New Roman" w:eastAsiaTheme="majorEastAsia"/>
          <w:color w:val="000000" w:themeColor="text1"/>
          <w:sz w:val="32"/>
          <w:szCs w:val="32"/>
          <w14:textFill>
            <w14:solidFill>
              <w14:schemeClr w14:val="tx1"/>
            </w14:solidFill>
          </w14:textFill>
        </w:rPr>
      </w:pPr>
      <w:bookmarkStart w:id="78" w:name="_Toc509933873"/>
      <w:bookmarkStart w:id="79" w:name="_Toc23703"/>
      <w:bookmarkStart w:id="80" w:name="_Toc510534552"/>
      <w:bookmarkStart w:id="81" w:name="_Toc12111"/>
      <w:r>
        <w:rPr>
          <w:rFonts w:cs="Times New Roman" w:eastAsiaTheme="majorEastAsia"/>
          <w:color w:val="000000" w:themeColor="text1"/>
          <w:sz w:val="32"/>
          <w:szCs w:val="32"/>
          <w14:textFill>
            <w14:solidFill>
              <w14:schemeClr w14:val="tx1"/>
            </w14:solidFill>
          </w14:textFill>
        </w:rPr>
        <w:br w:type="page"/>
      </w:r>
    </w:p>
    <w:p>
      <w:pPr>
        <w:pStyle w:val="2"/>
        <w:spacing w:before="300" w:after="300" w:line="360" w:lineRule="auto"/>
        <w:jc w:val="center"/>
        <w:rPr>
          <w:rFonts w:cs="Times New Roman" w:eastAsiaTheme="majorEastAsia"/>
          <w:color w:val="000000" w:themeColor="text1"/>
          <w:sz w:val="32"/>
          <w:szCs w:val="32"/>
          <w14:textFill>
            <w14:solidFill>
              <w14:schemeClr w14:val="tx1"/>
            </w14:solidFill>
          </w14:textFill>
        </w:rPr>
      </w:pPr>
      <w:bookmarkStart w:id="82" w:name="_Toc1774"/>
      <w:r>
        <w:rPr>
          <w:rFonts w:cs="Times New Roman" w:eastAsiaTheme="majorEastAsia"/>
          <w:color w:val="000000" w:themeColor="text1"/>
          <w:sz w:val="32"/>
          <w:szCs w:val="32"/>
          <w14:textFill>
            <w14:solidFill>
              <w14:schemeClr w14:val="tx1"/>
            </w14:solidFill>
          </w14:textFill>
        </w:rPr>
        <w:t>参考文献</w:t>
      </w:r>
      <w:bookmarkEnd w:id="78"/>
      <w:bookmarkEnd w:id="79"/>
      <w:bookmarkEnd w:id="80"/>
      <w:bookmarkEnd w:id="81"/>
      <w:bookmarkEnd w:id="82"/>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[1]中国药学会医院药学专业委员会.中国药历书写原则与推荐格式[S].人民卫生出版社.2012.</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[2]郭绍来,郭代红,刘皈阳,赖琪,傅效群.基于HIS并结合PASS的电子药历软件的研制[J].中国药物应用与监测,2008(02):19-21.</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[3]郦柏平,张慧芬,王燕儿,赵永根,王珏.基于HIS的电子药历的开发与应用[J].中华医院管理杂志,2004(12):47-49.</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[4]夏晖,王伊文,刘淼,朱姗薇,韩晋.电子药历在药学服务工作中的作用[J].医药导报,2014,33(02):266-268.</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[5]金颐和,卢晓阳,李霞萍,陈俊春,寿玥莺.电子药历的开发及在合理用药中的作用[J].中国现代应用药学,2009,26(04):338-340.</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[6]朱曼,郭代红,刘皈阳,郭绍来,陈超,赖琪.解放军总医院电子药历管理系统的使用与评价[J].中国药物应用与监测,2008(04):8-10.</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[7]龚俊.基于SOAP规范的电子药历系统的设计与实现[J].中国数字医学,2018,13(12):50-51.</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[8]俞鹏天,李菌,姜赛平,胡云珍,阮吉州,周俊,李茜,卢晓阳.基于临床药师工作实践构建电子药历管理平台[J].中国医院药学杂志,2019,39(04):390-393.</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[9]沈静萍,单磊敬,罗朝利,张丽梅.电子药历系统的设计与应用[J].医药导报,2011,30(12):1675-1676.</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[10]贺坤,雒道光,张晓然.电子药历的设计及在药学监护中的应用[J].中国医院用药评价与分析,2011,11(07):665-668.</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[11]贺坤,温清,苏乐群.基于Web的临床药师电子药历系统的开发及应用[J].齐鲁药事,2011,30(05):280-282.</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[12]张玉林,赵炳通.我院基于医院信息系统的电子药历的开发[J].山西医药杂志(下半月刊),2010,39(08):794-795.</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[13]王晓玉,孟楣,夏伦祝,高家荣,冯艺戎,顾东晓.一种智能化电子药历生成方法[J].中国医院药学杂志,2009,29(10):843-845.</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[14]金颐和,卢晓阳,李霞萍,陈俊春,寿玥莺.普及型电子药历的开发及作用[J].中国医院药学杂志,2008,28(24):2129-2130.</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[15]王南松,王立军,汪邯郸,陈春涛.应用医院信息系统建立电子药历提高药学监护水平[J].中国现代医药杂志,2008(07):19-21.</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[16]谢诚,高杰,杨晓妍,缪丽燕.电子药历网页的开发、应用及其远程数据管理[J].中国药房,2008(10):756-758.</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[17]汪邯郸,王南松,周学琴.运用我院信息系统建立规范化电子药历在药学监护中的应用[J].药品评价,2007(02):122+70.</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[18]任志坚,任志强,干红华.基于XML技术的电子药历初步探讨[J].医学信息,2007(02):202-207.</w:t>
      </w:r>
    </w:p>
    <w:p>
      <w:pPr>
        <w:jc w:val="left"/>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[19]黄健,张明雄.运用Visual Foxpro数据库建立患者电子药历[J].中国药房,2005(03):73-74.</w:t>
      </w:r>
    </w:p>
    <w:sectPr>
      <w:headerReference r:id="rId10" w:type="default"/>
      <w:footerReference r:id="rId11" w:type="default"/>
      <w:pgSz w:w="11906" w:h="16838"/>
      <w:pgMar w:top="1440" w:right="1797" w:bottom="1440" w:left="1797" w:header="851" w:footer="992" w:gutter="0"/>
      <w:pgBorders>
        <w:top w:val="none" w:sz="0" w:space="0"/>
        <w:left w:val="none" w:sz="0" w:space="0"/>
        <w:bottom w:val="none" w:sz="0" w:space="0"/>
        <w:right w:val="none" w:sz="0" w:space="0"/>
      </w:pgBorders>
      <w:pgNumType w:start="5"/>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font-weight : 400">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3811698"/>
                          </w:sdtPr>
                          <w:sdtContent>
                            <w:p>
                              <w:pPr>
                                <w:pStyle w:val="10"/>
                                <w:jc w:val="center"/>
                              </w:pPr>
                              <w:r>
                                <w:fldChar w:fldCharType="begin"/>
                              </w:r>
                              <w:r>
                                <w:instrText xml:space="preserve">PAGE   \* MERGEFORMAT</w:instrText>
                              </w:r>
                              <w:r>
                                <w:fldChar w:fldCharType="separate"/>
                              </w:r>
                              <w:r>
                                <w:rPr>
                                  <w:lang w:val="zh-CN"/>
                                </w:rPr>
                                <w:t>IV</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963811698"/>
                    </w:sdtPr>
                    <w:sdtContent>
                      <w:p>
                        <w:pPr>
                          <w:pStyle w:val="10"/>
                          <w:jc w:val="center"/>
                        </w:pPr>
                        <w:r>
                          <w:fldChar w:fldCharType="begin"/>
                        </w:r>
                        <w:r>
                          <w:instrText xml:space="preserve">PAGE   \* MERGEFORMAT</w:instrText>
                        </w:r>
                        <w:r>
                          <w:fldChar w:fldCharType="separate"/>
                        </w:r>
                        <w:r>
                          <w:rPr>
                            <w:lang w:val="zh-CN"/>
                          </w:rPr>
                          <w:t>IV</w:t>
                        </w:r>
                        <w: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74680140"/>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1674680140"/>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5162923"/>
                          </w:sdtPr>
                          <w:sdtContent>
                            <w:p>
                              <w:pPr>
                                <w:pStyle w:val="10"/>
                                <w:jc w:val="center"/>
                              </w:pPr>
                              <w:r>
                                <w:fldChar w:fldCharType="begin"/>
                              </w:r>
                              <w:r>
                                <w:instrText xml:space="preserve">PAGE   \* MERGEFORMAT</w:instrText>
                              </w:r>
                              <w:r>
                                <w:fldChar w:fldCharType="separate"/>
                              </w:r>
                              <w:r>
                                <w:rPr>
                                  <w:lang w:val="zh-CN"/>
                                </w:rPr>
                                <w:t>III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535162923"/>
                    </w:sdtPr>
                    <w:sdtContent>
                      <w:p>
                        <w:pPr>
                          <w:pStyle w:val="10"/>
                          <w:jc w:val="center"/>
                        </w:pPr>
                        <w:r>
                          <w:fldChar w:fldCharType="begin"/>
                        </w:r>
                        <w:r>
                          <w:instrText xml:space="preserve">PAGE   \* MERGEFORMAT</w:instrText>
                        </w:r>
                        <w:r>
                          <w:fldChar w:fldCharType="separate"/>
                        </w:r>
                        <w:r>
                          <w:rPr>
                            <w:lang w:val="zh-CN"/>
                          </w:rPr>
                          <w:t>III</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9411122"/>
                          </w:sdtPr>
                          <w:sdtContent>
                            <w:p>
                              <w:pPr>
                                <w:pStyle w:val="10"/>
                                <w:jc w:val="center"/>
                              </w:pPr>
                              <w:r>
                                <w:fldChar w:fldCharType="begin"/>
                              </w:r>
                              <w:r>
                                <w:instrText xml:space="preserve">PAGE   \* MERGEFORMAT</w:instrText>
                              </w:r>
                              <w:r>
                                <w:fldChar w:fldCharType="separate"/>
                              </w:r>
                              <w:r>
                                <w:rPr>
                                  <w:lang w:val="zh-CN"/>
                                </w:rPr>
                                <w:t>III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1959411122"/>
                    </w:sdtPr>
                    <w:sdtContent>
                      <w:p>
                        <w:pPr>
                          <w:pStyle w:val="10"/>
                          <w:jc w:val="center"/>
                        </w:pPr>
                        <w:r>
                          <w:fldChar w:fldCharType="begin"/>
                        </w:r>
                        <w:r>
                          <w:instrText xml:space="preserve">PAGE   \* MERGEFORMAT</w:instrText>
                        </w:r>
                        <w:r>
                          <w:fldChar w:fldCharType="separate"/>
                        </w:r>
                        <w:r>
                          <w:rPr>
                            <w:lang w:val="zh-CN"/>
                          </w:rPr>
                          <w:t>III</w:t>
                        </w:r>
                        <w:r>
                          <w:fldChar w:fldCharType="end"/>
                        </w:r>
                      </w:p>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0024230"/>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1600024230"/>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15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15</w:t>
                    </w:r>
                    <w:r>
                      <w:rPr>
                        <w:lang w:val="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pStyle w:val="31"/>
      <w:suff w:val="nothing"/>
      <w:lvlText w:val="%1"/>
      <w:lvlJc w:val="left"/>
      <w:pPr>
        <w:ind w:left="0" w:firstLine="0"/>
      </w:pPr>
      <w:rPr>
        <w:rFonts w:hint="default" w:ascii="Times New Roman" w:hAnsi="Times New Roman"/>
        <w:b/>
        <w:i w:val="0"/>
        <w:sz w:val="21"/>
      </w:rPr>
    </w:lvl>
    <w:lvl w:ilvl="1" w:tentative="0">
      <w:start w:val="1"/>
      <w:numFmt w:val="decimal"/>
      <w:pStyle w:val="23"/>
      <w:suff w:val="nothing"/>
      <w:lvlText w:val="%1%2　"/>
      <w:lvlJc w:val="left"/>
      <w:pPr>
        <w:ind w:left="360" w:firstLine="0"/>
      </w:pPr>
      <w:rPr>
        <w:rFonts w:hint="eastAsia" w:ascii="黑体" w:hAnsi="Times New Roman"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2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3N2U0YTU0ODYxOTdjNDE1YTM3MmVlMzY5NzNiOGUifQ=="/>
  </w:docVars>
  <w:rsids>
    <w:rsidRoot w:val="00172A27"/>
    <w:rsid w:val="00000522"/>
    <w:rsid w:val="00004F1D"/>
    <w:rsid w:val="000053C5"/>
    <w:rsid w:val="00012B7E"/>
    <w:rsid w:val="00012FCA"/>
    <w:rsid w:val="00016417"/>
    <w:rsid w:val="00023678"/>
    <w:rsid w:val="00026FB9"/>
    <w:rsid w:val="00034E45"/>
    <w:rsid w:val="0004336F"/>
    <w:rsid w:val="00051519"/>
    <w:rsid w:val="000535FA"/>
    <w:rsid w:val="00053659"/>
    <w:rsid w:val="00056341"/>
    <w:rsid w:val="00060D8E"/>
    <w:rsid w:val="00074F20"/>
    <w:rsid w:val="00083F25"/>
    <w:rsid w:val="000843B2"/>
    <w:rsid w:val="00085DE6"/>
    <w:rsid w:val="0009557C"/>
    <w:rsid w:val="000A5337"/>
    <w:rsid w:val="000B2B8D"/>
    <w:rsid w:val="000C0E2C"/>
    <w:rsid w:val="000C29F0"/>
    <w:rsid w:val="000E2E24"/>
    <w:rsid w:val="000E44AC"/>
    <w:rsid w:val="000F1177"/>
    <w:rsid w:val="000F3546"/>
    <w:rsid w:val="000F709E"/>
    <w:rsid w:val="00101828"/>
    <w:rsid w:val="0011064A"/>
    <w:rsid w:val="001116C8"/>
    <w:rsid w:val="00112F24"/>
    <w:rsid w:val="00116CA6"/>
    <w:rsid w:val="00132F8B"/>
    <w:rsid w:val="00140492"/>
    <w:rsid w:val="0016155F"/>
    <w:rsid w:val="00172A27"/>
    <w:rsid w:val="001731FD"/>
    <w:rsid w:val="00195740"/>
    <w:rsid w:val="00195EBA"/>
    <w:rsid w:val="001A2F73"/>
    <w:rsid w:val="001A33E4"/>
    <w:rsid w:val="001C3315"/>
    <w:rsid w:val="001C553B"/>
    <w:rsid w:val="001D5F41"/>
    <w:rsid w:val="001D7B8E"/>
    <w:rsid w:val="001E3CBE"/>
    <w:rsid w:val="001E4B2B"/>
    <w:rsid w:val="001E4F23"/>
    <w:rsid w:val="001F18C5"/>
    <w:rsid w:val="0020587C"/>
    <w:rsid w:val="00210EDC"/>
    <w:rsid w:val="00221111"/>
    <w:rsid w:val="002225E3"/>
    <w:rsid w:val="00223C08"/>
    <w:rsid w:val="00226F03"/>
    <w:rsid w:val="00243F30"/>
    <w:rsid w:val="002568DB"/>
    <w:rsid w:val="00261F16"/>
    <w:rsid w:val="00267D85"/>
    <w:rsid w:val="0027557B"/>
    <w:rsid w:val="002A3569"/>
    <w:rsid w:val="002A716C"/>
    <w:rsid w:val="002C53E0"/>
    <w:rsid w:val="002D0343"/>
    <w:rsid w:val="002D1620"/>
    <w:rsid w:val="002D26B7"/>
    <w:rsid w:val="002F135D"/>
    <w:rsid w:val="002F4ACA"/>
    <w:rsid w:val="002F4D6A"/>
    <w:rsid w:val="002F54E8"/>
    <w:rsid w:val="00303CE4"/>
    <w:rsid w:val="00310581"/>
    <w:rsid w:val="00312C1F"/>
    <w:rsid w:val="00314B83"/>
    <w:rsid w:val="00320C69"/>
    <w:rsid w:val="00335C27"/>
    <w:rsid w:val="0034011E"/>
    <w:rsid w:val="003407F1"/>
    <w:rsid w:val="00340DAF"/>
    <w:rsid w:val="00342203"/>
    <w:rsid w:val="00343341"/>
    <w:rsid w:val="003473CC"/>
    <w:rsid w:val="00350810"/>
    <w:rsid w:val="00353304"/>
    <w:rsid w:val="003707E5"/>
    <w:rsid w:val="00374180"/>
    <w:rsid w:val="0039256B"/>
    <w:rsid w:val="003A018A"/>
    <w:rsid w:val="003C6E58"/>
    <w:rsid w:val="003C76EB"/>
    <w:rsid w:val="00435258"/>
    <w:rsid w:val="00435F15"/>
    <w:rsid w:val="0043717A"/>
    <w:rsid w:val="00441459"/>
    <w:rsid w:val="00444D6C"/>
    <w:rsid w:val="0045378E"/>
    <w:rsid w:val="004640E1"/>
    <w:rsid w:val="00467DE9"/>
    <w:rsid w:val="004772B7"/>
    <w:rsid w:val="00485CDA"/>
    <w:rsid w:val="00492036"/>
    <w:rsid w:val="0049285C"/>
    <w:rsid w:val="004961C3"/>
    <w:rsid w:val="004C1251"/>
    <w:rsid w:val="004C53AF"/>
    <w:rsid w:val="004E0AAA"/>
    <w:rsid w:val="004E10E4"/>
    <w:rsid w:val="004E604F"/>
    <w:rsid w:val="004E7EFB"/>
    <w:rsid w:val="00500D0A"/>
    <w:rsid w:val="0054403A"/>
    <w:rsid w:val="00570278"/>
    <w:rsid w:val="005A4262"/>
    <w:rsid w:val="005B4D98"/>
    <w:rsid w:val="005B63FD"/>
    <w:rsid w:val="005C4D5C"/>
    <w:rsid w:val="005D41A3"/>
    <w:rsid w:val="005D718A"/>
    <w:rsid w:val="005E2BA2"/>
    <w:rsid w:val="005E3FA7"/>
    <w:rsid w:val="005E4503"/>
    <w:rsid w:val="005F249D"/>
    <w:rsid w:val="005F5BF6"/>
    <w:rsid w:val="005F72FB"/>
    <w:rsid w:val="006051CA"/>
    <w:rsid w:val="0060758C"/>
    <w:rsid w:val="006426FD"/>
    <w:rsid w:val="0064625B"/>
    <w:rsid w:val="00647D63"/>
    <w:rsid w:val="00657400"/>
    <w:rsid w:val="0066318F"/>
    <w:rsid w:val="0066692E"/>
    <w:rsid w:val="00670459"/>
    <w:rsid w:val="00673E36"/>
    <w:rsid w:val="00692CC5"/>
    <w:rsid w:val="006A39E9"/>
    <w:rsid w:val="006B5D8C"/>
    <w:rsid w:val="006B6303"/>
    <w:rsid w:val="006D3901"/>
    <w:rsid w:val="006D397D"/>
    <w:rsid w:val="006D548E"/>
    <w:rsid w:val="006E4104"/>
    <w:rsid w:val="006E4F86"/>
    <w:rsid w:val="006E78C3"/>
    <w:rsid w:val="00706352"/>
    <w:rsid w:val="00706545"/>
    <w:rsid w:val="00723726"/>
    <w:rsid w:val="007334EF"/>
    <w:rsid w:val="00752754"/>
    <w:rsid w:val="00754AD5"/>
    <w:rsid w:val="007558D6"/>
    <w:rsid w:val="00771FCC"/>
    <w:rsid w:val="00774626"/>
    <w:rsid w:val="0078013C"/>
    <w:rsid w:val="00790081"/>
    <w:rsid w:val="007A0BF2"/>
    <w:rsid w:val="007A0E86"/>
    <w:rsid w:val="007A7262"/>
    <w:rsid w:val="007A732B"/>
    <w:rsid w:val="007A776F"/>
    <w:rsid w:val="007B5FEE"/>
    <w:rsid w:val="007C7A71"/>
    <w:rsid w:val="007C7D9C"/>
    <w:rsid w:val="007D1E41"/>
    <w:rsid w:val="007D24E9"/>
    <w:rsid w:val="007D4F59"/>
    <w:rsid w:val="007F15D0"/>
    <w:rsid w:val="007F39D9"/>
    <w:rsid w:val="00801DBC"/>
    <w:rsid w:val="00826483"/>
    <w:rsid w:val="00831E6D"/>
    <w:rsid w:val="00866FFD"/>
    <w:rsid w:val="00870E1F"/>
    <w:rsid w:val="00881504"/>
    <w:rsid w:val="00885E4A"/>
    <w:rsid w:val="00886939"/>
    <w:rsid w:val="008900AC"/>
    <w:rsid w:val="00892164"/>
    <w:rsid w:val="0089377C"/>
    <w:rsid w:val="008A4A40"/>
    <w:rsid w:val="008A59E2"/>
    <w:rsid w:val="008B1166"/>
    <w:rsid w:val="008B3518"/>
    <w:rsid w:val="008C3D59"/>
    <w:rsid w:val="008C62D6"/>
    <w:rsid w:val="008D309F"/>
    <w:rsid w:val="00917CC6"/>
    <w:rsid w:val="0092506D"/>
    <w:rsid w:val="00931202"/>
    <w:rsid w:val="00931243"/>
    <w:rsid w:val="00936EF9"/>
    <w:rsid w:val="00950657"/>
    <w:rsid w:val="009522DF"/>
    <w:rsid w:val="00955BA5"/>
    <w:rsid w:val="00970892"/>
    <w:rsid w:val="00975BE0"/>
    <w:rsid w:val="00980106"/>
    <w:rsid w:val="009807BE"/>
    <w:rsid w:val="00984ED3"/>
    <w:rsid w:val="00993A2B"/>
    <w:rsid w:val="009C6235"/>
    <w:rsid w:val="009E6687"/>
    <w:rsid w:val="00A17380"/>
    <w:rsid w:val="00A20DCE"/>
    <w:rsid w:val="00A22D8A"/>
    <w:rsid w:val="00A2349E"/>
    <w:rsid w:val="00A27287"/>
    <w:rsid w:val="00A33E1A"/>
    <w:rsid w:val="00A46A32"/>
    <w:rsid w:val="00A50096"/>
    <w:rsid w:val="00A515D7"/>
    <w:rsid w:val="00A5245A"/>
    <w:rsid w:val="00A55C65"/>
    <w:rsid w:val="00A64E1C"/>
    <w:rsid w:val="00A67AFD"/>
    <w:rsid w:val="00A81169"/>
    <w:rsid w:val="00A845C8"/>
    <w:rsid w:val="00A93EB2"/>
    <w:rsid w:val="00A95B72"/>
    <w:rsid w:val="00A96899"/>
    <w:rsid w:val="00A97BD8"/>
    <w:rsid w:val="00AB1E57"/>
    <w:rsid w:val="00AB3E24"/>
    <w:rsid w:val="00AD06E6"/>
    <w:rsid w:val="00AD07D0"/>
    <w:rsid w:val="00AD4876"/>
    <w:rsid w:val="00AD53B6"/>
    <w:rsid w:val="00AF3C6D"/>
    <w:rsid w:val="00B27CD5"/>
    <w:rsid w:val="00B322AD"/>
    <w:rsid w:val="00B32726"/>
    <w:rsid w:val="00B32C07"/>
    <w:rsid w:val="00B37930"/>
    <w:rsid w:val="00B43B07"/>
    <w:rsid w:val="00B46000"/>
    <w:rsid w:val="00B530B7"/>
    <w:rsid w:val="00B5365B"/>
    <w:rsid w:val="00B54041"/>
    <w:rsid w:val="00B55528"/>
    <w:rsid w:val="00B604BB"/>
    <w:rsid w:val="00B615D4"/>
    <w:rsid w:val="00B70BB7"/>
    <w:rsid w:val="00BA39B3"/>
    <w:rsid w:val="00BA6144"/>
    <w:rsid w:val="00BB3B70"/>
    <w:rsid w:val="00BB419F"/>
    <w:rsid w:val="00BB49F7"/>
    <w:rsid w:val="00BC228E"/>
    <w:rsid w:val="00BC7831"/>
    <w:rsid w:val="00BE1981"/>
    <w:rsid w:val="00C14B3D"/>
    <w:rsid w:val="00C3149F"/>
    <w:rsid w:val="00C553DB"/>
    <w:rsid w:val="00C6331A"/>
    <w:rsid w:val="00C63461"/>
    <w:rsid w:val="00C71918"/>
    <w:rsid w:val="00C92BC0"/>
    <w:rsid w:val="00C94ECD"/>
    <w:rsid w:val="00CF4559"/>
    <w:rsid w:val="00D077F5"/>
    <w:rsid w:val="00D10170"/>
    <w:rsid w:val="00D10457"/>
    <w:rsid w:val="00D43A04"/>
    <w:rsid w:val="00D62642"/>
    <w:rsid w:val="00D70986"/>
    <w:rsid w:val="00D73EAA"/>
    <w:rsid w:val="00D812B6"/>
    <w:rsid w:val="00D81D75"/>
    <w:rsid w:val="00DA670A"/>
    <w:rsid w:val="00DA744C"/>
    <w:rsid w:val="00DB4D71"/>
    <w:rsid w:val="00DB5885"/>
    <w:rsid w:val="00DD6608"/>
    <w:rsid w:val="00DE1D6D"/>
    <w:rsid w:val="00DF04D4"/>
    <w:rsid w:val="00DF087C"/>
    <w:rsid w:val="00DF1006"/>
    <w:rsid w:val="00E11040"/>
    <w:rsid w:val="00E455DF"/>
    <w:rsid w:val="00E46424"/>
    <w:rsid w:val="00E57E03"/>
    <w:rsid w:val="00E60530"/>
    <w:rsid w:val="00E94ED6"/>
    <w:rsid w:val="00EA39BF"/>
    <w:rsid w:val="00EA6D46"/>
    <w:rsid w:val="00EA790F"/>
    <w:rsid w:val="00EC2A7A"/>
    <w:rsid w:val="00ED2FA9"/>
    <w:rsid w:val="00EE742A"/>
    <w:rsid w:val="00EF3D9B"/>
    <w:rsid w:val="00EF613F"/>
    <w:rsid w:val="00F024E8"/>
    <w:rsid w:val="00F10A24"/>
    <w:rsid w:val="00F2103F"/>
    <w:rsid w:val="00F37801"/>
    <w:rsid w:val="00F51C34"/>
    <w:rsid w:val="00F600B5"/>
    <w:rsid w:val="00F66023"/>
    <w:rsid w:val="00F73858"/>
    <w:rsid w:val="00F948F3"/>
    <w:rsid w:val="00FA3C94"/>
    <w:rsid w:val="00FB7F18"/>
    <w:rsid w:val="00FC49BD"/>
    <w:rsid w:val="00FC5731"/>
    <w:rsid w:val="00FC6822"/>
    <w:rsid w:val="00FC7845"/>
    <w:rsid w:val="00FD0E71"/>
    <w:rsid w:val="00FF7070"/>
    <w:rsid w:val="02A824AD"/>
    <w:rsid w:val="03A76765"/>
    <w:rsid w:val="04013734"/>
    <w:rsid w:val="047C0BE3"/>
    <w:rsid w:val="04AB5D8E"/>
    <w:rsid w:val="05FC59BB"/>
    <w:rsid w:val="06D01481"/>
    <w:rsid w:val="07D34DE7"/>
    <w:rsid w:val="09B70807"/>
    <w:rsid w:val="09FA6B7E"/>
    <w:rsid w:val="0A1B5764"/>
    <w:rsid w:val="0D062DED"/>
    <w:rsid w:val="0D4348BE"/>
    <w:rsid w:val="0F6A4B07"/>
    <w:rsid w:val="0F8E6298"/>
    <w:rsid w:val="10823117"/>
    <w:rsid w:val="12583B52"/>
    <w:rsid w:val="138A6E75"/>
    <w:rsid w:val="15A12D50"/>
    <w:rsid w:val="15DA1034"/>
    <w:rsid w:val="16A8426A"/>
    <w:rsid w:val="16F146F8"/>
    <w:rsid w:val="1A076CA8"/>
    <w:rsid w:val="1B463FEA"/>
    <w:rsid w:val="1C2923D5"/>
    <w:rsid w:val="1C7F36B4"/>
    <w:rsid w:val="1F11782B"/>
    <w:rsid w:val="1F187DDA"/>
    <w:rsid w:val="1F596413"/>
    <w:rsid w:val="202766B7"/>
    <w:rsid w:val="21FF1CEA"/>
    <w:rsid w:val="231E5901"/>
    <w:rsid w:val="2411012C"/>
    <w:rsid w:val="24B375DB"/>
    <w:rsid w:val="269826CC"/>
    <w:rsid w:val="2804088E"/>
    <w:rsid w:val="280C4574"/>
    <w:rsid w:val="296B4AA6"/>
    <w:rsid w:val="2A1F32A0"/>
    <w:rsid w:val="2CFF1F9F"/>
    <w:rsid w:val="2D074935"/>
    <w:rsid w:val="2E261A09"/>
    <w:rsid w:val="2EBF2327"/>
    <w:rsid w:val="2F6721EB"/>
    <w:rsid w:val="312B5F89"/>
    <w:rsid w:val="32D60937"/>
    <w:rsid w:val="33464107"/>
    <w:rsid w:val="33640C9A"/>
    <w:rsid w:val="339A635A"/>
    <w:rsid w:val="34502335"/>
    <w:rsid w:val="352531F8"/>
    <w:rsid w:val="368A3470"/>
    <w:rsid w:val="37484FAB"/>
    <w:rsid w:val="37A33A39"/>
    <w:rsid w:val="37DD3842"/>
    <w:rsid w:val="39C717D0"/>
    <w:rsid w:val="3AAD32E2"/>
    <w:rsid w:val="3C0861A4"/>
    <w:rsid w:val="3C3C54EE"/>
    <w:rsid w:val="3D051B6D"/>
    <w:rsid w:val="3D173A4E"/>
    <w:rsid w:val="3E5E4D78"/>
    <w:rsid w:val="3FDB31A9"/>
    <w:rsid w:val="40286283"/>
    <w:rsid w:val="40FB7B72"/>
    <w:rsid w:val="41863A79"/>
    <w:rsid w:val="418E539C"/>
    <w:rsid w:val="433654A2"/>
    <w:rsid w:val="44B75102"/>
    <w:rsid w:val="44CC793E"/>
    <w:rsid w:val="44F1535C"/>
    <w:rsid w:val="4643366F"/>
    <w:rsid w:val="46A30CDB"/>
    <w:rsid w:val="48BE1225"/>
    <w:rsid w:val="4CC767FC"/>
    <w:rsid w:val="4CE76320"/>
    <w:rsid w:val="4D534076"/>
    <w:rsid w:val="4DBB0386"/>
    <w:rsid w:val="4DD05843"/>
    <w:rsid w:val="4FBE0F11"/>
    <w:rsid w:val="50387262"/>
    <w:rsid w:val="50636053"/>
    <w:rsid w:val="50641BAC"/>
    <w:rsid w:val="514C2594"/>
    <w:rsid w:val="536E7F1B"/>
    <w:rsid w:val="544161DE"/>
    <w:rsid w:val="54C46E4D"/>
    <w:rsid w:val="55C97F3A"/>
    <w:rsid w:val="56157481"/>
    <w:rsid w:val="56F449CA"/>
    <w:rsid w:val="57E577AE"/>
    <w:rsid w:val="584B5A02"/>
    <w:rsid w:val="58E36EEB"/>
    <w:rsid w:val="59712B80"/>
    <w:rsid w:val="5CAF5C39"/>
    <w:rsid w:val="5D0A1E4F"/>
    <w:rsid w:val="5F0074A7"/>
    <w:rsid w:val="5F0955C2"/>
    <w:rsid w:val="5FBC565E"/>
    <w:rsid w:val="6034009C"/>
    <w:rsid w:val="61683011"/>
    <w:rsid w:val="61F155C3"/>
    <w:rsid w:val="6200370C"/>
    <w:rsid w:val="62820C72"/>
    <w:rsid w:val="62875908"/>
    <w:rsid w:val="641A69F1"/>
    <w:rsid w:val="64DE3191"/>
    <w:rsid w:val="66245CE0"/>
    <w:rsid w:val="66F8187E"/>
    <w:rsid w:val="67745CE3"/>
    <w:rsid w:val="67D30A89"/>
    <w:rsid w:val="6C892777"/>
    <w:rsid w:val="6DE27BC7"/>
    <w:rsid w:val="6ED31CB0"/>
    <w:rsid w:val="70B42356"/>
    <w:rsid w:val="71ED268C"/>
    <w:rsid w:val="73183280"/>
    <w:rsid w:val="74F72DD2"/>
    <w:rsid w:val="7A050C3A"/>
    <w:rsid w:val="7C84375D"/>
    <w:rsid w:val="7D2E080E"/>
    <w:rsid w:val="7F40721A"/>
    <w:rsid w:val="7FCA4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4"/>
    <w:unhideWhenUsed/>
    <w:qFormat/>
    <w:uiPriority w:val="9"/>
    <w:pPr>
      <w:keepNext/>
      <w:keepLines/>
      <w:spacing w:before="260" w:after="260" w:line="415" w:lineRule="auto"/>
      <w:outlineLvl w:val="1"/>
    </w:pPr>
    <w:rPr>
      <w:rFonts w:ascii="等线 Light" w:hAnsi="等线 Light" w:eastAsia="等线 Light" w:cs="宋体"/>
      <w:b/>
      <w:bCs/>
      <w:sz w:val="32"/>
      <w:szCs w:val="32"/>
    </w:rPr>
  </w:style>
  <w:style w:type="paragraph" w:styleId="4">
    <w:name w:val="heading 3"/>
    <w:basedOn w:val="1"/>
    <w:next w:val="1"/>
    <w:link w:val="4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9"/>
    <w:semiHidden/>
    <w:unhideWhenUsed/>
    <w:qFormat/>
    <w:uiPriority w:val="99"/>
    <w:pPr>
      <w:jc w:val="left"/>
    </w:pPr>
  </w:style>
  <w:style w:type="paragraph" w:styleId="7">
    <w:name w:val="Body Text 3"/>
    <w:basedOn w:val="1"/>
    <w:link w:val="21"/>
    <w:qFormat/>
    <w:uiPriority w:val="0"/>
    <w:pPr>
      <w:widowControl/>
    </w:pPr>
    <w:rPr>
      <w:rFonts w:ascii="Times New Roman" w:hAnsi="Times New Roman" w:eastAsia="仿宋_GB2312" w:cs="Times New Roman"/>
      <w:kern w:val="0"/>
      <w:sz w:val="28"/>
      <w:szCs w:val="20"/>
    </w:rPr>
  </w:style>
  <w:style w:type="paragraph" w:styleId="8">
    <w:name w:val="toc 3"/>
    <w:basedOn w:val="1"/>
    <w:next w:val="1"/>
    <w:unhideWhenUsed/>
    <w:qFormat/>
    <w:uiPriority w:val="39"/>
    <w:pPr>
      <w:ind w:left="840" w:leftChars="400"/>
    </w:pPr>
  </w:style>
  <w:style w:type="paragraph" w:styleId="9">
    <w:name w:val="Balloon Text"/>
    <w:basedOn w:val="1"/>
    <w:link w:val="37"/>
    <w:semiHidden/>
    <w:unhideWhenUsed/>
    <w:qFormat/>
    <w:uiPriority w:val="99"/>
    <w:rPr>
      <w:sz w:val="18"/>
      <w:szCs w:val="18"/>
    </w:rPr>
  </w:style>
  <w:style w:type="paragraph" w:styleId="10">
    <w:name w:val="footer"/>
    <w:basedOn w:val="1"/>
    <w:link w:val="34"/>
    <w:unhideWhenUsed/>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tabs>
        <w:tab w:val="center" w:pos="4153"/>
        <w:tab w:val="right" w:pos="8306"/>
      </w:tabs>
      <w:snapToGrid w:val="0"/>
      <w:jc w:val="center"/>
    </w:pPr>
    <w:rPr>
      <w:rFonts w:ascii="Times New Roman" w:hAnsi="Times New Roman" w:eastAsia="宋体" w:cs="Times New Roman"/>
      <w:sz w:val="18"/>
      <w:szCs w:val="18"/>
    </w:rPr>
  </w:style>
  <w:style w:type="paragraph" w:styleId="12">
    <w:name w:val="toc 1"/>
    <w:next w:val="1"/>
    <w:qFormat/>
    <w:uiPriority w:val="39"/>
    <w:pPr>
      <w:widowControl w:val="0"/>
      <w:spacing w:before="240" w:after="120"/>
    </w:pPr>
    <w:rPr>
      <w:rFonts w:ascii="等线" w:hAnsi="Times New Roman" w:eastAsia="等线" w:cs="Times New Roman"/>
      <w:b/>
      <w:bCs/>
      <w:kern w:val="2"/>
      <w:lang w:val="en-US" w:eastAsia="zh-CN" w:bidi="ar-SA"/>
    </w:r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50"/>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正文文本 3 字符"/>
    <w:basedOn w:val="18"/>
    <w:link w:val="7"/>
    <w:qFormat/>
    <w:uiPriority w:val="0"/>
    <w:rPr>
      <w:rFonts w:ascii="Times New Roman" w:hAnsi="Times New Roman" w:eastAsia="仿宋_GB2312" w:cs="Times New Roman"/>
      <w:kern w:val="0"/>
      <w:sz w:val="28"/>
      <w:szCs w:val="20"/>
    </w:rPr>
  </w:style>
  <w:style w:type="character" w:customStyle="1" w:styleId="22">
    <w:name w:val="章标题 Char"/>
    <w:link w:val="23"/>
    <w:qFormat/>
    <w:uiPriority w:val="0"/>
    <w:rPr>
      <w:rFonts w:ascii="黑体" w:eastAsia="黑体"/>
    </w:rPr>
  </w:style>
  <w:style w:type="paragraph" w:customStyle="1" w:styleId="23">
    <w:name w:val="章标题"/>
    <w:next w:val="24"/>
    <w:link w:val="22"/>
    <w:qFormat/>
    <w:uiPriority w:val="0"/>
    <w:pPr>
      <w:numPr>
        <w:ilvl w:val="1"/>
        <w:numId w:val="1"/>
      </w:numPr>
      <w:spacing w:beforeLines="50" w:afterLines="50"/>
      <w:jc w:val="both"/>
      <w:outlineLvl w:val="1"/>
    </w:pPr>
    <w:rPr>
      <w:rFonts w:ascii="黑体" w:eastAsia="黑体" w:hAnsiTheme="minorHAnsi" w:cstheme="minorBidi"/>
      <w:kern w:val="2"/>
      <w:sz w:val="21"/>
      <w:szCs w:val="22"/>
      <w:lang w:val="en-US" w:eastAsia="zh-CN" w:bidi="ar-SA"/>
    </w:rPr>
  </w:style>
  <w:style w:type="paragraph" w:customStyle="1" w:styleId="24">
    <w:name w:val="段"/>
    <w:link w:val="4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
    <w:name w:val="一级条标题 Char"/>
    <w:link w:val="26"/>
    <w:qFormat/>
    <w:uiPriority w:val="0"/>
    <w:rPr>
      <w:rFonts w:eastAsia="黑体"/>
    </w:rPr>
  </w:style>
  <w:style w:type="paragraph" w:customStyle="1" w:styleId="26">
    <w:name w:val="一级条标题"/>
    <w:next w:val="24"/>
    <w:link w:val="25"/>
    <w:qFormat/>
    <w:uiPriority w:val="0"/>
    <w:pPr>
      <w:numPr>
        <w:ilvl w:val="2"/>
        <w:numId w:val="1"/>
      </w:numPr>
      <w:outlineLvl w:val="2"/>
    </w:pPr>
    <w:rPr>
      <w:rFonts w:eastAsia="黑体" w:asciiTheme="minorHAnsi" w:hAnsiTheme="minorHAnsi" w:cstheme="minorBidi"/>
      <w:kern w:val="2"/>
      <w:sz w:val="21"/>
      <w:szCs w:val="22"/>
      <w:lang w:val="en-US" w:eastAsia="zh-CN" w:bidi="ar-SA"/>
    </w:rPr>
  </w:style>
  <w:style w:type="character" w:customStyle="1" w:styleId="27">
    <w:name w:val="页眉 Char"/>
    <w:basedOn w:val="18"/>
    <w:semiHidden/>
    <w:qFormat/>
    <w:uiPriority w:val="99"/>
    <w:rPr>
      <w:sz w:val="18"/>
      <w:szCs w:val="18"/>
    </w:rPr>
  </w:style>
  <w:style w:type="paragraph" w:customStyle="1" w:styleId="28">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9">
    <w:name w:val="二级条标题"/>
    <w:basedOn w:val="26"/>
    <w:next w:val="24"/>
    <w:qFormat/>
    <w:uiPriority w:val="0"/>
    <w:pPr>
      <w:numPr>
        <w:ilvl w:val="3"/>
      </w:numPr>
      <w:tabs>
        <w:tab w:val="left" w:pos="435"/>
      </w:tabs>
      <w:ind w:left="435" w:hanging="435"/>
      <w:outlineLvl w:val="3"/>
    </w:pPr>
  </w:style>
  <w:style w:type="paragraph" w:customStyle="1" w:styleId="30">
    <w:name w:val="注：（正文）"/>
    <w:basedOn w:val="1"/>
    <w:next w:val="24"/>
    <w:qFormat/>
    <w:uiPriority w:val="0"/>
    <w:pPr>
      <w:numPr>
        <w:ilvl w:val="0"/>
        <w:numId w:val="2"/>
      </w:numPr>
      <w:tabs>
        <w:tab w:val="left" w:pos="1080"/>
      </w:tabs>
      <w:autoSpaceDE w:val="0"/>
      <w:autoSpaceDN w:val="0"/>
      <w:ind w:left="726" w:hanging="363"/>
    </w:pPr>
    <w:rPr>
      <w:rFonts w:ascii="宋体" w:hAnsi="Times New Roman" w:eastAsia="宋体" w:cs="Times New Roman"/>
      <w:kern w:val="0"/>
      <w:sz w:val="18"/>
      <w:szCs w:val="18"/>
    </w:rPr>
  </w:style>
  <w:style w:type="paragraph" w:customStyle="1" w:styleId="3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33">
    <w:name w:val="页眉 字符"/>
    <w:link w:val="11"/>
    <w:qFormat/>
    <w:uiPriority w:val="99"/>
    <w:rPr>
      <w:rFonts w:ascii="Times New Roman" w:hAnsi="Times New Roman" w:eastAsia="宋体" w:cs="Times New Roman"/>
      <w:sz w:val="18"/>
      <w:szCs w:val="18"/>
    </w:rPr>
  </w:style>
  <w:style w:type="character" w:customStyle="1" w:styleId="34">
    <w:name w:val="页脚 字符"/>
    <w:basedOn w:val="18"/>
    <w:link w:val="10"/>
    <w:qFormat/>
    <w:uiPriority w:val="99"/>
    <w:rPr>
      <w:sz w:val="18"/>
      <w:szCs w:val="18"/>
    </w:rPr>
  </w:style>
  <w:style w:type="paragraph" w:styleId="35">
    <w:name w:val="List Paragraph"/>
    <w:basedOn w:val="1"/>
    <w:unhideWhenUsed/>
    <w:qFormat/>
    <w:uiPriority w:val="99"/>
    <w:pPr>
      <w:ind w:firstLine="420" w:firstLineChars="200"/>
    </w:pPr>
    <w:rPr>
      <w:szCs w:val="24"/>
    </w:rPr>
  </w:style>
  <w:style w:type="character" w:customStyle="1" w:styleId="36">
    <w:name w:val="未处理的提及1"/>
    <w:basedOn w:val="18"/>
    <w:semiHidden/>
    <w:unhideWhenUsed/>
    <w:qFormat/>
    <w:uiPriority w:val="99"/>
    <w:rPr>
      <w:color w:val="605E5C"/>
      <w:shd w:val="clear" w:color="auto" w:fill="E1DFDD"/>
    </w:rPr>
  </w:style>
  <w:style w:type="character" w:customStyle="1" w:styleId="37">
    <w:name w:val="批注框文本 字符"/>
    <w:basedOn w:val="18"/>
    <w:link w:val="9"/>
    <w:semiHidden/>
    <w:qFormat/>
    <w:uiPriority w:val="99"/>
    <w:rPr>
      <w:sz w:val="18"/>
      <w:szCs w:val="18"/>
    </w:rPr>
  </w:style>
  <w:style w:type="paragraph" w:customStyle="1" w:styleId="38">
    <w:name w:val="正文 + 宋体"/>
    <w:basedOn w:val="1"/>
    <w:qFormat/>
    <w:uiPriority w:val="0"/>
    <w:pPr>
      <w:ind w:firstLine="480" w:firstLineChars="200"/>
    </w:pPr>
    <w:rPr>
      <w:rFonts w:ascii="宋体" w:hAnsi="宋体" w:eastAsia="宋体" w:cs="Times New Roman"/>
      <w:sz w:val="24"/>
      <w:szCs w:val="24"/>
    </w:rPr>
  </w:style>
  <w:style w:type="character" w:customStyle="1" w:styleId="39">
    <w:name w:val="fontstyle01"/>
    <w:basedOn w:val="18"/>
    <w:qFormat/>
    <w:uiPriority w:val="0"/>
    <w:rPr>
      <w:rFonts w:hint="eastAsia" w:ascii="仿宋" w:hAnsi="仿宋" w:eastAsia="仿宋"/>
      <w:color w:val="000000"/>
      <w:sz w:val="30"/>
      <w:szCs w:val="30"/>
    </w:rPr>
  </w:style>
  <w:style w:type="paragraph" w:customStyle="1" w:styleId="40">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character" w:customStyle="1" w:styleId="41">
    <w:name w:val="未处理的提及2"/>
    <w:basedOn w:val="18"/>
    <w:semiHidden/>
    <w:unhideWhenUsed/>
    <w:qFormat/>
    <w:uiPriority w:val="99"/>
    <w:rPr>
      <w:color w:val="605E5C"/>
      <w:shd w:val="clear" w:color="auto" w:fill="E1DFDD"/>
    </w:rPr>
  </w:style>
  <w:style w:type="character" w:customStyle="1" w:styleId="42">
    <w:name w:val="段 Char"/>
    <w:basedOn w:val="18"/>
    <w:link w:val="24"/>
    <w:qFormat/>
    <w:uiPriority w:val="0"/>
    <w:rPr>
      <w:rFonts w:ascii="宋体" w:hAnsi="Times New Roman" w:eastAsia="宋体" w:cs="Times New Roman"/>
      <w:kern w:val="0"/>
      <w:szCs w:val="20"/>
    </w:rPr>
  </w:style>
  <w:style w:type="character" w:customStyle="1" w:styleId="43">
    <w:name w:val="标题 2 Char"/>
    <w:basedOn w:val="18"/>
    <w:semiHidden/>
    <w:qFormat/>
    <w:uiPriority w:val="9"/>
    <w:rPr>
      <w:rFonts w:asciiTheme="majorHAnsi" w:hAnsiTheme="majorHAnsi" w:eastAsiaTheme="majorEastAsia" w:cstheme="majorBidi"/>
      <w:b/>
      <w:bCs/>
      <w:sz w:val="32"/>
      <w:szCs w:val="32"/>
    </w:rPr>
  </w:style>
  <w:style w:type="character" w:customStyle="1" w:styleId="44">
    <w:name w:val="标题 2 字符"/>
    <w:link w:val="3"/>
    <w:qFormat/>
    <w:locked/>
    <w:uiPriority w:val="9"/>
    <w:rPr>
      <w:rFonts w:ascii="等线 Light" w:hAnsi="等线 Light" w:eastAsia="等线 Light" w:cs="宋体"/>
      <w:b/>
      <w:bCs/>
      <w:sz w:val="32"/>
      <w:szCs w:val="32"/>
    </w:rPr>
  </w:style>
  <w:style w:type="character" w:customStyle="1" w:styleId="45">
    <w:name w:val="标题 1 字符"/>
    <w:basedOn w:val="18"/>
    <w:link w:val="2"/>
    <w:qFormat/>
    <w:uiPriority w:val="9"/>
    <w:rPr>
      <w:b/>
      <w:bCs/>
      <w:kern w:val="44"/>
      <w:sz w:val="44"/>
      <w:szCs w:val="44"/>
    </w:rPr>
  </w:style>
  <w:style w:type="character" w:customStyle="1" w:styleId="46">
    <w:name w:val="标题 3 字符"/>
    <w:basedOn w:val="18"/>
    <w:link w:val="4"/>
    <w:qFormat/>
    <w:uiPriority w:val="9"/>
    <w:rPr>
      <w:b/>
      <w:bCs/>
      <w:sz w:val="32"/>
      <w:szCs w:val="32"/>
    </w:rPr>
  </w:style>
  <w:style w:type="character" w:customStyle="1" w:styleId="47">
    <w:name w:val="标题 4 字符"/>
    <w:basedOn w:val="18"/>
    <w:link w:val="5"/>
    <w:qFormat/>
    <w:uiPriority w:val="9"/>
    <w:rPr>
      <w:rFonts w:asciiTheme="majorHAnsi" w:hAnsiTheme="majorHAnsi" w:eastAsiaTheme="majorEastAsia" w:cstheme="majorBidi"/>
      <w:b/>
      <w:bCs/>
      <w:sz w:val="28"/>
      <w:szCs w:val="28"/>
    </w:rPr>
  </w:style>
  <w:style w:type="paragraph" w:customStyle="1" w:styleId="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9">
    <w:name w:val="批注文字 字符"/>
    <w:basedOn w:val="18"/>
    <w:link w:val="6"/>
    <w:semiHidden/>
    <w:qFormat/>
    <w:uiPriority w:val="99"/>
    <w:rPr>
      <w:rFonts w:asciiTheme="minorHAnsi" w:hAnsiTheme="minorHAnsi" w:eastAsiaTheme="minorEastAsia" w:cstheme="minorBidi"/>
      <w:kern w:val="2"/>
      <w:sz w:val="21"/>
      <w:szCs w:val="22"/>
    </w:rPr>
  </w:style>
  <w:style w:type="character" w:customStyle="1" w:styleId="50">
    <w:name w:val="批注主题 字符"/>
    <w:basedOn w:val="49"/>
    <w:link w:val="15"/>
    <w:semiHidden/>
    <w:qFormat/>
    <w:uiPriority w:val="99"/>
    <w:rPr>
      <w:rFonts w:asciiTheme="minorHAnsi" w:hAnsiTheme="minorHAnsi" w:eastAsiaTheme="minorEastAsia" w:cstheme="minorBidi"/>
      <w:b/>
      <w:bCs/>
      <w:kern w:val="2"/>
      <w:sz w:val="21"/>
      <w:szCs w:val="22"/>
    </w:rPr>
  </w:style>
  <w:style w:type="paragraph" w:customStyle="1" w:styleId="5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font21"/>
    <w:basedOn w:val="18"/>
    <w:qFormat/>
    <w:uiPriority w:val="0"/>
    <w:rPr>
      <w:rFonts w:ascii="font-weight : 400" w:hAnsi="font-weight : 400" w:eastAsia="font-weight : 400" w:cs="font-weight : 400"/>
      <w:color w:val="000000"/>
      <w:sz w:val="21"/>
      <w:szCs w:val="21"/>
      <w:u w:val="none"/>
    </w:rPr>
  </w:style>
  <w:style w:type="character" w:customStyle="1" w:styleId="53">
    <w:name w:val="font11"/>
    <w:basedOn w:val="18"/>
    <w:qFormat/>
    <w:uiPriority w:val="0"/>
    <w:rPr>
      <w:rFonts w:hint="default" w:ascii="Times New Roman" w:hAnsi="Times New Roman" w:cs="Times New Roman"/>
      <w:color w:val="000000"/>
      <w:sz w:val="18"/>
      <w:szCs w:val="18"/>
      <w:u w:val="none"/>
    </w:rPr>
  </w:style>
  <w:style w:type="paragraph" w:customStyle="1" w:styleId="54">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5">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14023-AB86-46F4-8287-A3484D41C240}">
  <ds:schemaRefs/>
</ds:datastoreItem>
</file>

<file path=docProps/app.xml><?xml version="1.0" encoding="utf-8"?>
<Properties xmlns="http://schemas.openxmlformats.org/officeDocument/2006/extended-properties" xmlns:vt="http://schemas.openxmlformats.org/officeDocument/2006/docPropsVTypes">
  <Template>Normal</Template>
  <Pages>17</Pages>
  <Words>8557</Words>
  <Characters>10151</Characters>
  <Lines>33</Lines>
  <Paragraphs>24</Paragraphs>
  <TotalTime>14</TotalTime>
  <ScaleCrop>false</ScaleCrop>
  <LinksUpToDate>false</LinksUpToDate>
  <CharactersWithSpaces>10334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2022-01-12T03:59:00Z</dcterms:created>
  <dc:creator>fengxue</dc:creator>
  <cp:lastModifiedBy>珍惜</cp:lastModifiedBy>
  <cp:lastPrinted>2019-09-11T03:12:00Z</cp:lastPrinted>
  <dcterms:modified xsi:type="dcterms:W3CDTF">2022-05-20T09:39:38Z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86A8BE83455B4DE0B4CB5B30596DCE49</vt:lpwstr>
  </property>
</Properties>
</file>