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46B10">
      <w:pPr>
        <w:jc w:val="center"/>
        <w:rPr>
          <w:rFonts w:ascii="华文仿宋" w:hAnsi="华文仿宋" w:eastAsia="华文仿宋"/>
          <w:b/>
          <w:sz w:val="96"/>
          <w:szCs w:val="96"/>
        </w:rPr>
      </w:pPr>
      <w:r>
        <w:rPr>
          <w:rFonts w:ascii="华文仿宋" w:hAnsi="华文仿宋" w:eastAsia="华文仿宋" w:cs="仿宋"/>
          <w:b/>
          <w:color w:val="FF0000"/>
          <w:sz w:val="96"/>
          <w:szCs w:val="96"/>
        </w:rPr>
        <w:t>河南省药学会文件</w:t>
      </w:r>
    </w:p>
    <w:p w14:paraId="264B38AF">
      <w:pPr>
        <w:jc w:val="both"/>
        <w:rPr>
          <w:rFonts w:hint="eastAsia" w:ascii="楷体" w:hAnsi="楷体" w:eastAsia="楷体" w:cs="楷体"/>
          <w:bCs/>
          <w:sz w:val="28"/>
          <w:szCs w:val="28"/>
        </w:rPr>
      </w:pPr>
    </w:p>
    <w:p w14:paraId="17AA816A">
      <w:pPr>
        <w:spacing w:line="560" w:lineRule="exact"/>
        <w:ind w:left="120" w:firstLine="52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豫药会〔2025〕48号</w:t>
      </w:r>
    </w:p>
    <w:p w14:paraId="487C16E9">
      <w:pPr>
        <w:jc w:val="center"/>
        <w:rPr>
          <w:rFonts w:ascii="华文仿宋" w:hAnsi="华文仿宋" w:eastAsia="华文仿宋" w:cs="仿宋"/>
          <w:b w:val="0"/>
          <w:bCs/>
          <w:sz w:val="32"/>
          <w:szCs w:val="32"/>
        </w:rPr>
      </w:pPr>
      <w:r>
        <w:rPr>
          <w:rFonts w:hint="eastAsia" w:ascii="楷体_GB2312" w:eastAsia="楷体_GB2312"/>
          <w:b/>
          <w:color w:val="FF0000"/>
          <w:sz w:val="30"/>
          <w:szCs w:val="30"/>
        </w:rPr>
        <w:t>-</w:t>
      </w:r>
      <w:r>
        <w:rPr>
          <w:rFonts w:hint="eastAsia" w:ascii="楷体_GB2312" w:eastAsia="楷体_GB2312"/>
          <w:b/>
          <w:color w:val="FF0000"/>
          <w:sz w:val="30"/>
          <w:szCs w:val="30"/>
          <w:lang w:val="en-US" w:eastAsia="zh-CN"/>
        </w:rPr>
        <w:t>------------</w:t>
      </w:r>
      <w:r>
        <w:rPr>
          <w:rFonts w:hint="eastAsia" w:ascii="楷体_GB2312" w:eastAsia="楷体_GB2312"/>
          <w:b/>
          <w:color w:val="FF0000"/>
          <w:sz w:val="30"/>
          <w:szCs w:val="30"/>
        </w:rPr>
        <w:t>-----------------------</w:t>
      </w:r>
      <w:r>
        <w:rPr>
          <w:rFonts w:hint="eastAsia" w:ascii="楷体_GB2312" w:eastAsia="楷体_GB2312"/>
          <w:b/>
          <w:color w:val="FF0000"/>
          <w:sz w:val="30"/>
          <w:szCs w:val="30"/>
          <w:lang w:val="en-US" w:eastAsia="zh-CN"/>
        </w:rPr>
        <w:t>---</w:t>
      </w:r>
      <w:r>
        <w:rPr>
          <w:rFonts w:hint="eastAsia" w:ascii="楷体_GB2312" w:eastAsia="楷体_GB2312"/>
          <w:b/>
          <w:color w:val="FF0000"/>
          <w:sz w:val="30"/>
          <w:szCs w:val="30"/>
        </w:rPr>
        <w:t>------------</w:t>
      </w:r>
      <w:r>
        <w:rPr>
          <w:rFonts w:hint="eastAsia" w:ascii="楷体_GB2312" w:eastAsia="楷体_GB2312"/>
          <w:b/>
          <w:color w:val="000000"/>
          <w:sz w:val="30"/>
          <w:szCs w:val="30"/>
          <w:lang w:eastAsia="zh-CN"/>
        </w:rPr>
        <w:t xml:space="preserve">             </w:t>
      </w:r>
    </w:p>
    <w:p w14:paraId="35AEE8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关于开展千万IP创科普—科普微视频</w:t>
      </w:r>
    </w:p>
    <w:p w14:paraId="745662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征集活动的通知</w:t>
      </w:r>
    </w:p>
    <w:p w14:paraId="0F2992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val="en-US" w:eastAsia="zh-CN"/>
        </w:rPr>
      </w:pPr>
    </w:p>
    <w:p w14:paraId="11AE6C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河南省药学会各单位会员及个人会员</w:t>
      </w:r>
      <w:r>
        <w:rPr>
          <w:rFonts w:hint="eastAsia" w:ascii="仿宋_GB2312" w:eastAsia="仿宋_GB2312"/>
          <w:sz w:val="32"/>
          <w:szCs w:val="32"/>
        </w:rPr>
        <w:t>：</w:t>
      </w:r>
    </w:p>
    <w:p w14:paraId="00E4536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为贯彻落实《河南省全民科学素质纲要实施工作办公室关于广泛开展首个全国科普月活动的通知》（豫纲要办〔2025〕1号）的通知精神，充分发挥我会广大科技工作者在合理用药方面的专业优势和微视频在科技传播中的传播优势，搭建科普创作和传播的平台，服务人民身体健康，服务科技创新，在广大会员间营造普及科学技术知识、弘扬科学精神、传播科学思想、倡导科学方法的浓厚氛围，促进我省药学科普事业的蓬勃发展，为河南省药学会科普专栏微视频栏目开播奠定良好基础。现面向全省会员征集千万IP创科普—科普微视频，具体事宜通知如下：</w:t>
      </w:r>
    </w:p>
    <w:p w14:paraId="241C1EDB">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ascii="黑体" w:hAnsi="黑体" w:eastAsia="黑体"/>
          <w:b/>
          <w:sz w:val="32"/>
          <w:szCs w:val="32"/>
        </w:rPr>
      </w:pPr>
      <w:r>
        <w:rPr>
          <w:rFonts w:hint="eastAsia" w:ascii="黑体" w:hAnsi="黑体" w:eastAsia="黑体"/>
          <w:b/>
          <w:sz w:val="32"/>
          <w:szCs w:val="32"/>
          <w:lang w:val="en-US" w:eastAsia="zh-CN"/>
        </w:rPr>
        <w:t>一</w:t>
      </w:r>
      <w:r>
        <w:rPr>
          <w:rFonts w:hint="eastAsia" w:ascii="黑体" w:hAnsi="黑体" w:eastAsia="黑体"/>
          <w:b/>
          <w:sz w:val="32"/>
          <w:szCs w:val="32"/>
        </w:rPr>
        <w:t>、作品主题</w:t>
      </w:r>
    </w:p>
    <w:p w14:paraId="36522169">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“药”健康 向未来</w:t>
      </w:r>
    </w:p>
    <w:p w14:paraId="7E30B08A">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ascii="黑体" w:hAnsi="黑体" w:eastAsia="黑体"/>
          <w:b/>
          <w:sz w:val="32"/>
          <w:szCs w:val="32"/>
        </w:rPr>
      </w:pPr>
      <w:r>
        <w:rPr>
          <w:rFonts w:hint="eastAsia" w:ascii="黑体" w:hAnsi="黑体" w:eastAsia="黑体"/>
          <w:b/>
          <w:sz w:val="32"/>
          <w:szCs w:val="32"/>
          <w:lang w:val="en-US" w:eastAsia="zh-CN"/>
        </w:rPr>
        <w:t>二</w:t>
      </w:r>
      <w:r>
        <w:rPr>
          <w:rFonts w:hint="eastAsia" w:ascii="黑体" w:hAnsi="黑体" w:eastAsia="黑体"/>
          <w:b/>
          <w:sz w:val="32"/>
          <w:szCs w:val="32"/>
        </w:rPr>
        <w:t>、</w:t>
      </w:r>
      <w:r>
        <w:rPr>
          <w:rFonts w:hint="eastAsia" w:ascii="黑体" w:hAnsi="黑体" w:eastAsia="黑体"/>
          <w:b/>
          <w:sz w:val="32"/>
          <w:szCs w:val="32"/>
          <w:lang w:val="en-US" w:eastAsia="zh-CN"/>
        </w:rPr>
        <w:t>征集</w:t>
      </w:r>
      <w:r>
        <w:rPr>
          <w:rFonts w:hint="eastAsia" w:ascii="黑体" w:hAnsi="黑体" w:eastAsia="黑体"/>
          <w:b/>
          <w:sz w:val="32"/>
          <w:szCs w:val="32"/>
        </w:rPr>
        <w:t>范围</w:t>
      </w:r>
    </w:p>
    <w:p w14:paraId="4F8A69AE">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河南省药学会会员。</w:t>
      </w:r>
    </w:p>
    <w:p w14:paraId="3DD765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sz w:val="32"/>
          <w:szCs w:val="32"/>
          <w:lang w:val="en-US" w:eastAsia="zh-CN"/>
        </w:rPr>
      </w:pPr>
      <w:r>
        <w:rPr>
          <w:rFonts w:hint="eastAsia" w:ascii="黑体" w:hAnsi="黑体" w:eastAsia="黑体"/>
          <w:b/>
          <w:sz w:val="32"/>
          <w:szCs w:val="32"/>
          <w:lang w:val="en-US" w:eastAsia="zh-CN"/>
        </w:rPr>
        <w:t>三、征集分类</w:t>
      </w:r>
    </w:p>
    <w:p w14:paraId="127AEB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1.原创视频（参见下面第四：征集要求）；</w:t>
      </w:r>
    </w:p>
    <w:p w14:paraId="6894B1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2.已在各类正规平台上发布的视频。提交视频时，需一并提</w:t>
      </w:r>
    </w:p>
    <w:p w14:paraId="57B3ED5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交发布链接。</w:t>
      </w:r>
    </w:p>
    <w:p w14:paraId="08B5EB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sz w:val="32"/>
          <w:szCs w:val="32"/>
        </w:rPr>
      </w:pPr>
      <w:r>
        <w:rPr>
          <w:rFonts w:hint="eastAsia" w:ascii="黑体" w:hAnsi="黑体" w:eastAsia="黑体"/>
          <w:b/>
          <w:sz w:val="32"/>
          <w:szCs w:val="32"/>
          <w:lang w:val="en-US" w:eastAsia="zh-CN"/>
        </w:rPr>
        <w:t>四、</w:t>
      </w:r>
      <w:r>
        <w:rPr>
          <w:rFonts w:hint="eastAsia" w:ascii="黑体" w:hAnsi="黑体" w:eastAsia="黑体"/>
          <w:b/>
          <w:sz w:val="32"/>
          <w:szCs w:val="32"/>
        </w:rPr>
        <w:t>征集要求</w:t>
      </w:r>
    </w:p>
    <w:p w14:paraId="7892CB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楷体"/>
          <w:b/>
          <w:spacing w:val="0"/>
          <w:sz w:val="32"/>
          <w:szCs w:val="32"/>
          <w:lang w:val="en-US" w:eastAsia="zh-CN"/>
        </w:rPr>
      </w:pPr>
      <w:r>
        <w:rPr>
          <w:rFonts w:hint="eastAsia" w:ascii="楷体" w:hAnsi="楷体" w:eastAsia="楷体" w:cs="楷体"/>
          <w:b w:val="0"/>
          <w:bCs/>
          <w:sz w:val="32"/>
          <w:szCs w:val="32"/>
        </w:rPr>
        <w:t>（一）</w:t>
      </w:r>
      <w:r>
        <w:rPr>
          <w:rFonts w:hint="eastAsia" w:ascii="楷体" w:hAnsi="楷体" w:eastAsia="楷体" w:cs="楷体"/>
          <w:b w:val="0"/>
          <w:bCs/>
          <w:spacing w:val="0"/>
          <w:sz w:val="32"/>
          <w:szCs w:val="32"/>
          <w:lang w:val="en-US" w:eastAsia="zh-CN"/>
        </w:rPr>
        <w:t>作品</w:t>
      </w:r>
      <w:r>
        <w:rPr>
          <w:rFonts w:hint="eastAsia" w:ascii="楷体" w:hAnsi="楷体" w:eastAsia="楷体" w:cs="楷体"/>
          <w:b w:val="0"/>
          <w:bCs/>
          <w:spacing w:val="0"/>
          <w:sz w:val="32"/>
          <w:szCs w:val="32"/>
        </w:rPr>
        <w:t>具有较高的思想性、科学性、新颖性、通俗性和实用性</w:t>
      </w:r>
      <w:r>
        <w:rPr>
          <w:rFonts w:hint="eastAsia" w:ascii="楷体" w:hAnsi="楷体" w:eastAsia="楷体" w:cs="楷体"/>
          <w:b w:val="0"/>
          <w:bCs/>
          <w:spacing w:val="0"/>
          <w:sz w:val="32"/>
          <w:szCs w:val="32"/>
          <w:lang w:val="en-US" w:eastAsia="zh-CN"/>
        </w:rPr>
        <w:t>。</w:t>
      </w:r>
    </w:p>
    <w:p w14:paraId="4157C8EC">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ascii="仿宋" w:hAnsi="仿宋" w:eastAsia="仿宋"/>
          <w:sz w:val="32"/>
          <w:szCs w:val="32"/>
        </w:rPr>
        <w:t>1.思想性</w:t>
      </w:r>
      <w:r>
        <w:rPr>
          <w:rFonts w:hint="eastAsia" w:ascii="仿宋" w:hAnsi="仿宋" w:eastAsia="仿宋"/>
          <w:sz w:val="32"/>
          <w:szCs w:val="32"/>
          <w:lang w:eastAsia="zh-CN"/>
        </w:rPr>
        <w:t>。</w:t>
      </w:r>
      <w:r>
        <w:rPr>
          <w:rFonts w:ascii="仿宋" w:hAnsi="仿宋" w:eastAsia="仿宋"/>
          <w:sz w:val="32"/>
          <w:szCs w:val="32"/>
        </w:rPr>
        <w:t>主题思想和内容健康向上，反映当前药学领域主旋律，代表医药事业的发展方向</w:t>
      </w:r>
      <w:r>
        <w:rPr>
          <w:rFonts w:hint="eastAsia" w:ascii="仿宋" w:hAnsi="仿宋" w:eastAsia="仿宋"/>
          <w:sz w:val="32"/>
          <w:szCs w:val="32"/>
        </w:rPr>
        <w:t>，能为公众合理用药</w:t>
      </w:r>
      <w:r>
        <w:rPr>
          <w:rFonts w:hint="eastAsia" w:ascii="仿宋" w:hAnsi="仿宋" w:eastAsia="仿宋"/>
          <w:sz w:val="32"/>
          <w:szCs w:val="32"/>
          <w:lang w:eastAsia="zh-CN"/>
        </w:rPr>
        <w:t>、</w:t>
      </w:r>
      <w:r>
        <w:rPr>
          <w:rFonts w:hint="eastAsia" w:ascii="仿宋" w:hAnsi="仿宋" w:eastAsia="仿宋"/>
          <w:sz w:val="32"/>
          <w:szCs w:val="32"/>
        </w:rPr>
        <w:t>健康促进提供帮助</w:t>
      </w:r>
      <w:r>
        <w:rPr>
          <w:rFonts w:hint="eastAsia" w:ascii="仿宋" w:hAnsi="仿宋" w:eastAsia="仿宋"/>
          <w:sz w:val="32"/>
          <w:szCs w:val="32"/>
          <w:lang w:eastAsia="zh-CN"/>
        </w:rPr>
        <w:t>；</w:t>
      </w:r>
    </w:p>
    <w:p w14:paraId="372F9AA9">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cs="Calibri"/>
          <w:sz w:val="32"/>
          <w:szCs w:val="32"/>
          <w:lang w:eastAsia="zh-CN"/>
        </w:rPr>
      </w:pPr>
      <w:r>
        <w:rPr>
          <w:rFonts w:ascii="仿宋" w:hAnsi="仿宋" w:eastAsia="仿宋"/>
          <w:sz w:val="32"/>
          <w:szCs w:val="32"/>
        </w:rPr>
        <w:t>2.科学性</w:t>
      </w:r>
      <w:r>
        <w:rPr>
          <w:rFonts w:hint="eastAsia" w:ascii="仿宋" w:hAnsi="仿宋" w:eastAsia="仿宋"/>
          <w:sz w:val="32"/>
          <w:szCs w:val="32"/>
          <w:lang w:eastAsia="zh-CN"/>
        </w:rPr>
        <w:t>。</w:t>
      </w:r>
      <w:r>
        <w:rPr>
          <w:rFonts w:hint="eastAsia" w:ascii="仿宋" w:hAnsi="仿宋" w:eastAsia="仿宋" w:cs="Calibri"/>
          <w:sz w:val="32"/>
          <w:szCs w:val="32"/>
        </w:rPr>
        <w:t>符合普及科学技术知识、倡导科学方法、传播科学思想、弘扬科学精神的要求，科学、客观、准确地传递药学专业知识</w:t>
      </w:r>
      <w:r>
        <w:rPr>
          <w:rFonts w:hint="eastAsia" w:ascii="仿宋" w:hAnsi="仿宋" w:eastAsia="仿宋" w:cs="Calibri"/>
          <w:sz w:val="32"/>
          <w:szCs w:val="32"/>
          <w:lang w:eastAsia="zh-CN"/>
        </w:rPr>
        <w:t>；</w:t>
      </w:r>
    </w:p>
    <w:p w14:paraId="6CDD49EF">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新颖性</w:t>
      </w:r>
      <w:r>
        <w:rPr>
          <w:rFonts w:hint="eastAsia" w:ascii="仿宋" w:hAnsi="仿宋" w:eastAsia="仿宋"/>
          <w:sz w:val="32"/>
          <w:szCs w:val="32"/>
          <w:lang w:eastAsia="zh-CN"/>
        </w:rPr>
        <w:t>。</w:t>
      </w:r>
      <w:r>
        <w:rPr>
          <w:rFonts w:hint="eastAsia" w:ascii="仿宋" w:hAnsi="仿宋" w:eastAsia="仿宋"/>
          <w:sz w:val="32"/>
          <w:szCs w:val="32"/>
        </w:rPr>
        <w:t>作品主题切入视角独特，</w:t>
      </w:r>
      <w:r>
        <w:rPr>
          <w:rFonts w:ascii="仿宋" w:hAnsi="仿宋" w:eastAsia="仿宋"/>
          <w:sz w:val="32"/>
          <w:szCs w:val="32"/>
        </w:rPr>
        <w:t>整体</w:t>
      </w:r>
      <w:r>
        <w:rPr>
          <w:rFonts w:hint="eastAsia" w:ascii="仿宋" w:hAnsi="仿宋" w:eastAsia="仿宋"/>
          <w:sz w:val="32"/>
          <w:szCs w:val="32"/>
        </w:rPr>
        <w:t>内容</w:t>
      </w:r>
      <w:r>
        <w:rPr>
          <w:rFonts w:ascii="仿宋" w:hAnsi="仿宋" w:eastAsia="仿宋"/>
          <w:sz w:val="32"/>
          <w:szCs w:val="32"/>
        </w:rPr>
        <w:t>构思新颖</w:t>
      </w:r>
      <w:r>
        <w:rPr>
          <w:rFonts w:hint="eastAsia" w:ascii="仿宋" w:hAnsi="仿宋" w:eastAsia="仿宋"/>
          <w:sz w:val="32"/>
          <w:szCs w:val="32"/>
        </w:rPr>
        <w:t>，</w:t>
      </w:r>
      <w:r>
        <w:rPr>
          <w:rFonts w:ascii="仿宋" w:hAnsi="仿宋" w:eastAsia="仿宋"/>
          <w:sz w:val="32"/>
          <w:szCs w:val="32"/>
        </w:rPr>
        <w:t>创作手法和表现形式</w:t>
      </w:r>
      <w:r>
        <w:rPr>
          <w:rFonts w:hint="eastAsia" w:ascii="仿宋" w:hAnsi="仿宋" w:eastAsia="仿宋"/>
          <w:sz w:val="32"/>
          <w:szCs w:val="32"/>
        </w:rPr>
        <w:t>具</w:t>
      </w:r>
      <w:r>
        <w:rPr>
          <w:rFonts w:ascii="仿宋" w:hAnsi="仿宋" w:eastAsia="仿宋"/>
          <w:sz w:val="32"/>
          <w:szCs w:val="32"/>
        </w:rPr>
        <w:t>有独创性，富有特色，具有感染力</w:t>
      </w:r>
      <w:r>
        <w:rPr>
          <w:rFonts w:hint="eastAsia" w:ascii="仿宋" w:hAnsi="仿宋" w:eastAsia="仿宋"/>
          <w:sz w:val="32"/>
          <w:szCs w:val="32"/>
          <w:lang w:eastAsia="zh-CN"/>
        </w:rPr>
        <w:t>；</w:t>
      </w:r>
    </w:p>
    <w:p w14:paraId="75271182">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hint="eastAsia" w:ascii="仿宋" w:hAnsi="仿宋" w:eastAsia="仿宋"/>
          <w:sz w:val="32"/>
          <w:szCs w:val="32"/>
        </w:rPr>
        <w:t>4</w:t>
      </w:r>
      <w:r>
        <w:rPr>
          <w:rFonts w:ascii="仿宋" w:hAnsi="仿宋" w:eastAsia="仿宋"/>
          <w:sz w:val="32"/>
          <w:szCs w:val="32"/>
        </w:rPr>
        <w:t>.通俗性</w:t>
      </w:r>
      <w:r>
        <w:rPr>
          <w:rFonts w:hint="eastAsia" w:ascii="仿宋" w:hAnsi="仿宋" w:eastAsia="仿宋"/>
          <w:sz w:val="32"/>
          <w:szCs w:val="32"/>
          <w:lang w:eastAsia="zh-CN"/>
        </w:rPr>
        <w:t>。</w:t>
      </w:r>
      <w:r>
        <w:rPr>
          <w:rFonts w:hint="eastAsia" w:ascii="仿宋" w:hAnsi="仿宋" w:eastAsia="仿宋"/>
          <w:sz w:val="32"/>
          <w:szCs w:val="32"/>
        </w:rPr>
        <w:t>作品生动活泼，</w:t>
      </w:r>
      <w:r>
        <w:rPr>
          <w:rFonts w:ascii="仿宋" w:hAnsi="仿宋" w:eastAsia="仿宋"/>
          <w:sz w:val="32"/>
          <w:szCs w:val="32"/>
        </w:rPr>
        <w:t>通俗易懂</w:t>
      </w:r>
      <w:r>
        <w:rPr>
          <w:rFonts w:hint="eastAsia" w:ascii="仿宋" w:hAnsi="仿宋" w:eastAsia="仿宋"/>
          <w:sz w:val="32"/>
          <w:szCs w:val="32"/>
        </w:rPr>
        <w:t>，并注重药学科普与人文科学相结合</w:t>
      </w:r>
      <w:r>
        <w:rPr>
          <w:rFonts w:hint="eastAsia" w:ascii="仿宋" w:hAnsi="仿宋" w:eastAsia="仿宋"/>
          <w:sz w:val="32"/>
          <w:szCs w:val="32"/>
          <w:lang w:eastAsia="zh-CN"/>
        </w:rPr>
        <w:t>；</w:t>
      </w:r>
    </w:p>
    <w:p w14:paraId="4F88B066">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rPr>
      </w:pPr>
      <w:r>
        <w:rPr>
          <w:rFonts w:hint="eastAsia" w:ascii="仿宋" w:hAnsi="仿宋" w:eastAsia="仿宋"/>
          <w:sz w:val="32"/>
          <w:szCs w:val="32"/>
        </w:rPr>
        <w:t>5.实用性</w:t>
      </w:r>
      <w:r>
        <w:rPr>
          <w:rFonts w:hint="eastAsia" w:ascii="仿宋" w:hAnsi="仿宋" w:eastAsia="仿宋"/>
          <w:sz w:val="32"/>
          <w:szCs w:val="32"/>
          <w:lang w:eastAsia="zh-CN"/>
        </w:rPr>
        <w:t>。</w:t>
      </w:r>
      <w:r>
        <w:rPr>
          <w:rFonts w:hint="eastAsia" w:ascii="仿宋" w:hAnsi="仿宋" w:eastAsia="仿宋"/>
          <w:sz w:val="32"/>
          <w:szCs w:val="32"/>
          <w:lang w:val="en-US" w:eastAsia="zh-CN"/>
        </w:rPr>
        <w:t>作品</w:t>
      </w:r>
      <w:r>
        <w:rPr>
          <w:rFonts w:hint="eastAsia" w:ascii="仿宋" w:hAnsi="仿宋" w:eastAsia="仿宋"/>
          <w:sz w:val="32"/>
          <w:szCs w:val="32"/>
        </w:rPr>
        <w:t>紧跟社会热点，</w:t>
      </w:r>
      <w:r>
        <w:rPr>
          <w:rFonts w:ascii="仿宋" w:hAnsi="仿宋" w:eastAsia="仿宋"/>
          <w:sz w:val="32"/>
          <w:szCs w:val="32"/>
        </w:rPr>
        <w:t>密切结合公众生活</w:t>
      </w:r>
      <w:r>
        <w:rPr>
          <w:rFonts w:hint="eastAsia" w:ascii="仿宋" w:hAnsi="仿宋" w:eastAsia="仿宋"/>
          <w:sz w:val="32"/>
          <w:szCs w:val="32"/>
        </w:rPr>
        <w:t>实际。</w:t>
      </w:r>
    </w:p>
    <w:p w14:paraId="0E19B4E6">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（二）作品内容</w:t>
      </w:r>
    </w:p>
    <w:p w14:paraId="4BB84527">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主题鲜明，</w:t>
      </w:r>
      <w:r>
        <w:rPr>
          <w:rFonts w:ascii="仿宋" w:hAnsi="仿宋" w:eastAsia="仿宋"/>
          <w:sz w:val="32"/>
          <w:szCs w:val="32"/>
        </w:rPr>
        <w:t>围绕</w:t>
      </w:r>
      <w:r>
        <w:rPr>
          <w:rFonts w:hint="eastAsia" w:ascii="仿宋" w:hAnsi="仿宋" w:eastAsia="仿宋"/>
          <w:sz w:val="32"/>
          <w:szCs w:val="32"/>
        </w:rPr>
        <w:t>“合理用药”主题，结合公众关心的热点话题或工作实际引入案例分析为佳</w:t>
      </w:r>
      <w:r>
        <w:rPr>
          <w:rFonts w:hint="eastAsia" w:ascii="仿宋" w:hAnsi="仿宋" w:eastAsia="仿宋"/>
          <w:sz w:val="32"/>
          <w:szCs w:val="32"/>
          <w:lang w:eastAsia="zh-CN"/>
        </w:rPr>
        <w:t>；</w:t>
      </w:r>
    </w:p>
    <w:p w14:paraId="3A3B4862">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ascii="仿宋" w:hAnsi="仿宋" w:eastAsia="仿宋"/>
          <w:sz w:val="32"/>
          <w:szCs w:val="32"/>
        </w:rPr>
        <w:t>2.</w:t>
      </w:r>
      <w:r>
        <w:rPr>
          <w:rFonts w:hint="eastAsia" w:ascii="仿宋" w:hAnsi="仿宋" w:eastAsia="仿宋"/>
          <w:sz w:val="32"/>
          <w:szCs w:val="32"/>
          <w:lang w:val="en-US" w:eastAsia="zh-CN"/>
        </w:rPr>
        <w:t>视频内容</w:t>
      </w:r>
      <w:r>
        <w:rPr>
          <w:rFonts w:hint="eastAsia" w:ascii="仿宋" w:hAnsi="仿宋" w:eastAsia="仿宋"/>
          <w:sz w:val="32"/>
          <w:szCs w:val="32"/>
        </w:rPr>
        <w:t>不限，以下</w:t>
      </w:r>
      <w:r>
        <w:rPr>
          <w:rFonts w:hint="eastAsia" w:ascii="仿宋" w:hAnsi="仿宋" w:eastAsia="仿宋"/>
          <w:sz w:val="32"/>
          <w:szCs w:val="32"/>
          <w:lang w:val="en-US" w:eastAsia="zh-CN"/>
        </w:rPr>
        <w:t>内容</w:t>
      </w:r>
      <w:r>
        <w:rPr>
          <w:rFonts w:hint="eastAsia" w:ascii="仿宋" w:hAnsi="仿宋" w:eastAsia="仿宋"/>
          <w:sz w:val="32"/>
          <w:szCs w:val="32"/>
        </w:rPr>
        <w:t>仅供参考</w:t>
      </w:r>
      <w:r>
        <w:rPr>
          <w:rFonts w:hint="eastAsia" w:ascii="仿宋" w:hAnsi="仿宋" w:eastAsia="仿宋"/>
          <w:sz w:val="32"/>
          <w:szCs w:val="32"/>
          <w:lang w:eastAsia="zh-CN"/>
        </w:rPr>
        <w:t>。</w:t>
      </w:r>
    </w:p>
    <w:p w14:paraId="3ADE1D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研究、生产、流通、监管领域：原研药与仿制药的相同与不同、一片药的全生命周期、药品的3D技术、生产线上的药品自述、药品冷链运输与贮存是怎么一回事？、集采药品监管的那些事等。</w:t>
      </w:r>
    </w:p>
    <w:p w14:paraId="46DFC0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应用领域：</w:t>
      </w:r>
      <w:r>
        <w:rPr>
          <w:rFonts w:hint="eastAsia" w:ascii="仿宋" w:hAnsi="仿宋" w:eastAsia="仿宋"/>
          <w:sz w:val="32"/>
          <w:szCs w:val="32"/>
        </w:rPr>
        <w:t>特殊人群用药</w:t>
      </w:r>
      <w:r>
        <w:rPr>
          <w:rFonts w:hint="eastAsia" w:ascii="仿宋" w:hAnsi="仿宋" w:eastAsia="仿宋"/>
          <w:sz w:val="32"/>
          <w:szCs w:val="32"/>
          <w:lang w:eastAsia="zh-CN"/>
        </w:rPr>
        <w:t>、</w:t>
      </w:r>
      <w:r>
        <w:rPr>
          <w:rFonts w:hint="eastAsia" w:ascii="仿宋" w:hAnsi="仿宋" w:eastAsia="仿宋"/>
          <w:sz w:val="32"/>
          <w:szCs w:val="32"/>
        </w:rPr>
        <w:t>特殊疾病及防治</w:t>
      </w:r>
      <w:r>
        <w:rPr>
          <w:rFonts w:hint="eastAsia" w:ascii="仿宋" w:hAnsi="仿宋" w:eastAsia="仿宋"/>
          <w:sz w:val="32"/>
          <w:szCs w:val="32"/>
          <w:lang w:eastAsia="zh-CN"/>
        </w:rPr>
        <w:t>、</w:t>
      </w:r>
      <w:r>
        <w:rPr>
          <w:rFonts w:hint="eastAsia" w:ascii="仿宋" w:hAnsi="仿宋" w:eastAsia="仿宋"/>
          <w:sz w:val="32"/>
          <w:szCs w:val="32"/>
        </w:rPr>
        <w:t>常见慢病管理</w:t>
      </w:r>
      <w:r>
        <w:rPr>
          <w:rFonts w:hint="eastAsia" w:ascii="仿宋" w:hAnsi="仿宋" w:eastAsia="仿宋"/>
          <w:sz w:val="32"/>
          <w:szCs w:val="32"/>
          <w:lang w:eastAsia="zh-CN"/>
        </w:rPr>
        <w:t>、</w:t>
      </w:r>
      <w:r>
        <w:rPr>
          <w:rFonts w:hint="eastAsia" w:ascii="仿宋" w:hAnsi="仿宋" w:eastAsia="仿宋"/>
          <w:sz w:val="32"/>
          <w:szCs w:val="32"/>
        </w:rPr>
        <w:t>季节流行病防治</w:t>
      </w:r>
      <w:r>
        <w:rPr>
          <w:rFonts w:hint="eastAsia" w:ascii="仿宋" w:hAnsi="仿宋" w:eastAsia="仿宋"/>
          <w:sz w:val="32"/>
          <w:szCs w:val="32"/>
          <w:lang w:eastAsia="zh-CN"/>
        </w:rPr>
        <w:t>、</w:t>
      </w:r>
      <w:r>
        <w:rPr>
          <w:rFonts w:hint="eastAsia" w:ascii="仿宋" w:hAnsi="仿宋" w:eastAsia="仿宋"/>
          <w:sz w:val="32"/>
          <w:szCs w:val="32"/>
        </w:rPr>
        <w:t>地方性疾病及防治</w:t>
      </w:r>
      <w:r>
        <w:rPr>
          <w:rFonts w:hint="eastAsia" w:ascii="仿宋" w:hAnsi="仿宋" w:eastAsia="仿宋"/>
          <w:sz w:val="32"/>
          <w:szCs w:val="32"/>
          <w:lang w:eastAsia="zh-CN"/>
        </w:rPr>
        <w:t>、</w:t>
      </w:r>
      <w:r>
        <w:rPr>
          <w:rFonts w:hint="eastAsia" w:ascii="仿宋" w:hAnsi="仿宋" w:eastAsia="仿宋"/>
          <w:sz w:val="32"/>
          <w:szCs w:val="32"/>
        </w:rPr>
        <w:t>药品不良反应</w:t>
      </w:r>
      <w:r>
        <w:rPr>
          <w:rFonts w:hint="eastAsia" w:ascii="仿宋" w:hAnsi="仿宋" w:eastAsia="仿宋"/>
          <w:sz w:val="32"/>
          <w:szCs w:val="32"/>
          <w:lang w:eastAsia="zh-CN"/>
        </w:rPr>
        <w:t>、</w:t>
      </w:r>
      <w:r>
        <w:rPr>
          <w:rFonts w:hint="eastAsia" w:ascii="仿宋" w:hAnsi="仿宋" w:eastAsia="仿宋"/>
          <w:sz w:val="32"/>
          <w:szCs w:val="32"/>
        </w:rPr>
        <w:t>常见用药误区</w:t>
      </w:r>
      <w:r>
        <w:rPr>
          <w:rFonts w:hint="eastAsia" w:ascii="仿宋" w:hAnsi="仿宋" w:eastAsia="仿宋"/>
          <w:sz w:val="32"/>
          <w:szCs w:val="32"/>
          <w:lang w:eastAsia="zh-CN"/>
        </w:rPr>
        <w:t>、</w:t>
      </w:r>
      <w:r>
        <w:rPr>
          <w:rFonts w:hint="eastAsia" w:ascii="仿宋" w:hAnsi="仿宋" w:eastAsia="仿宋"/>
          <w:sz w:val="32"/>
          <w:szCs w:val="32"/>
        </w:rPr>
        <w:t>药品与保健品</w:t>
      </w:r>
      <w:r>
        <w:rPr>
          <w:rFonts w:hint="eastAsia" w:ascii="仿宋" w:hAnsi="仿宋" w:eastAsia="仿宋"/>
          <w:sz w:val="32"/>
          <w:szCs w:val="32"/>
          <w:lang w:eastAsia="zh-CN"/>
        </w:rPr>
        <w:t>、</w:t>
      </w:r>
      <w:r>
        <w:rPr>
          <w:rFonts w:hint="eastAsia" w:ascii="仿宋" w:hAnsi="仿宋" w:eastAsia="仿宋"/>
          <w:sz w:val="32"/>
          <w:szCs w:val="32"/>
        </w:rPr>
        <w:t>中药</w:t>
      </w:r>
      <w:r>
        <w:rPr>
          <w:rFonts w:hint="eastAsia" w:ascii="仿宋" w:hAnsi="仿宋" w:eastAsia="仿宋"/>
          <w:sz w:val="32"/>
          <w:szCs w:val="32"/>
          <w:lang w:val="en-US" w:eastAsia="zh-CN"/>
        </w:rPr>
        <w:t>合理</w:t>
      </w:r>
      <w:r>
        <w:rPr>
          <w:rFonts w:hint="eastAsia" w:ascii="仿宋" w:hAnsi="仿宋" w:eastAsia="仿宋"/>
          <w:sz w:val="32"/>
          <w:szCs w:val="32"/>
        </w:rPr>
        <w:t>应用</w:t>
      </w:r>
      <w:r>
        <w:rPr>
          <w:rFonts w:hint="eastAsia" w:ascii="仿宋" w:hAnsi="仿宋" w:eastAsia="仿宋"/>
          <w:sz w:val="32"/>
          <w:szCs w:val="32"/>
          <w:lang w:eastAsia="zh-CN"/>
        </w:rPr>
        <w:t>、</w:t>
      </w:r>
      <w:r>
        <w:rPr>
          <w:rFonts w:hint="eastAsia" w:ascii="仿宋" w:hAnsi="仿宋" w:eastAsia="仿宋"/>
          <w:sz w:val="32"/>
          <w:szCs w:val="32"/>
        </w:rPr>
        <w:t>药品说明书解读；节日/健康日（见附件</w:t>
      </w:r>
      <w:r>
        <w:rPr>
          <w:rFonts w:ascii="仿宋" w:hAnsi="仿宋" w:eastAsia="仿宋"/>
          <w:sz w:val="32"/>
          <w:szCs w:val="32"/>
        </w:rPr>
        <w:t>1</w:t>
      </w:r>
      <w:r>
        <w:rPr>
          <w:rFonts w:hint="eastAsia" w:ascii="仿宋" w:hAnsi="仿宋" w:eastAsia="仿宋"/>
          <w:sz w:val="32"/>
          <w:szCs w:val="32"/>
        </w:rPr>
        <w:t>）相关疾病防治等。</w:t>
      </w:r>
    </w:p>
    <w:p w14:paraId="707557DD">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楷体" w:hAnsi="楷体" w:eastAsia="楷体" w:cs="楷体"/>
          <w:b/>
          <w:sz w:val="32"/>
          <w:szCs w:val="32"/>
        </w:rPr>
      </w:pPr>
      <w:r>
        <w:rPr>
          <w:rFonts w:hint="eastAsia" w:ascii="楷体" w:hAnsi="楷体" w:eastAsia="楷体" w:cs="楷体"/>
          <w:b w:val="0"/>
          <w:bCs/>
          <w:sz w:val="32"/>
          <w:szCs w:val="32"/>
        </w:rPr>
        <w:t>（三）作品形式及要求</w:t>
      </w:r>
    </w:p>
    <w:p w14:paraId="2266BD88">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本次征集作品形式为微视频作品。</w:t>
      </w:r>
    </w:p>
    <w:p w14:paraId="1F2E9C02">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hint="eastAsia" w:ascii="仿宋" w:hAnsi="仿宋" w:eastAsia="仿宋"/>
          <w:sz w:val="32"/>
          <w:szCs w:val="32"/>
        </w:rPr>
        <w:t>作品要求</w:t>
      </w:r>
      <w:r>
        <w:rPr>
          <w:rFonts w:hint="eastAsia" w:ascii="仿宋" w:hAnsi="仿宋" w:eastAsia="仿宋"/>
          <w:sz w:val="32"/>
          <w:szCs w:val="32"/>
          <w:lang w:eastAsia="zh-CN"/>
        </w:rPr>
        <w:t>：</w:t>
      </w:r>
    </w:p>
    <w:p w14:paraId="2815A4E3">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格式： MP4、MPEG、AVI等格式的高清视频（不压缩）；</w:t>
      </w:r>
    </w:p>
    <w:p w14:paraId="15DDDF27">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分辨率：1920*1080P；</w:t>
      </w:r>
    </w:p>
    <w:p w14:paraId="37506D2D">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时长：</w:t>
      </w:r>
      <w:r>
        <w:rPr>
          <w:rFonts w:ascii="仿宋" w:hAnsi="仿宋" w:eastAsia="仿宋"/>
          <w:sz w:val="32"/>
          <w:szCs w:val="32"/>
          <w:highlight w:val="none"/>
        </w:rPr>
        <w:t>3</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分钟</w:t>
      </w:r>
      <w:r>
        <w:rPr>
          <w:rFonts w:hint="eastAsia" w:ascii="仿宋" w:hAnsi="仿宋" w:eastAsia="仿宋"/>
          <w:sz w:val="32"/>
          <w:szCs w:val="32"/>
        </w:rPr>
        <w:t>；</w:t>
      </w:r>
    </w:p>
    <w:p w14:paraId="47877F04">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字幕：中文；</w:t>
      </w:r>
    </w:p>
    <w:p w14:paraId="64F795DA">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附完整字幕的word文档；</w:t>
      </w:r>
    </w:p>
    <w:p w14:paraId="7999982F">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视频中不得出现商业广告等无关内容。</w:t>
      </w:r>
    </w:p>
    <w:p w14:paraId="1030DA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rPr>
        <w:t>）提交形式</w:t>
      </w:r>
    </w:p>
    <w:p w14:paraId="0A0BD407">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作品以邮件的形式报送，</w:t>
      </w:r>
      <w:r>
        <w:rPr>
          <w:rFonts w:hint="eastAsia" w:ascii="仿宋" w:hAnsi="仿宋" w:eastAsia="仿宋"/>
          <w:sz w:val="32"/>
          <w:szCs w:val="32"/>
        </w:rPr>
        <w:t>邮件主</w:t>
      </w:r>
      <w:r>
        <w:rPr>
          <w:rFonts w:hint="eastAsia" w:ascii="仿宋" w:hAnsi="仿宋" w:eastAsia="仿宋"/>
          <w:sz w:val="32"/>
          <w:szCs w:val="32"/>
          <w:lang w:val="en-US" w:eastAsia="zh-CN"/>
        </w:rPr>
        <w:t>题以</w:t>
      </w:r>
      <w:r>
        <w:rPr>
          <w:rFonts w:hint="eastAsia" w:ascii="仿宋" w:hAnsi="仿宋" w:eastAsia="仿宋"/>
          <w:sz w:val="32"/>
          <w:szCs w:val="32"/>
        </w:rPr>
        <w:t>医院名称+药学科普作品</w:t>
      </w:r>
      <w:r>
        <w:rPr>
          <w:rFonts w:hint="eastAsia" w:ascii="仿宋" w:hAnsi="仿宋" w:eastAsia="仿宋"/>
          <w:sz w:val="32"/>
          <w:szCs w:val="32"/>
          <w:lang w:val="en-US" w:eastAsia="zh-CN"/>
        </w:rPr>
        <w:t>命名</w:t>
      </w:r>
      <w:r>
        <w:rPr>
          <w:rFonts w:hint="eastAsia" w:ascii="仿宋" w:hAnsi="仿宋" w:eastAsia="仿宋"/>
          <w:sz w:val="32"/>
          <w:szCs w:val="32"/>
        </w:rPr>
        <w:t>；</w:t>
      </w:r>
    </w:p>
    <w:p w14:paraId="63B016D8">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rPr>
      </w:pPr>
      <w:r>
        <w:rPr>
          <w:rFonts w:hint="eastAsia" w:ascii="仿宋" w:hAnsi="仿宋" w:eastAsia="仿宋"/>
          <w:sz w:val="32"/>
          <w:szCs w:val="32"/>
        </w:rPr>
        <w:t>2.文件夹以医院名称+作者姓名命名</w:t>
      </w:r>
      <w:r>
        <w:rPr>
          <w:rFonts w:hint="eastAsia" w:ascii="仿宋" w:hAnsi="仿宋" w:eastAsia="仿宋"/>
          <w:sz w:val="32"/>
          <w:szCs w:val="32"/>
          <w:lang w:eastAsia="zh-CN"/>
        </w:rPr>
        <w:t>，</w:t>
      </w:r>
      <w:r>
        <w:rPr>
          <w:rFonts w:hint="eastAsia" w:ascii="仿宋" w:hAnsi="仿宋" w:eastAsia="仿宋"/>
          <w:sz w:val="32"/>
          <w:szCs w:val="32"/>
          <w:lang w:val="en-US" w:eastAsia="zh-CN"/>
        </w:rPr>
        <w:t>文件包括作品、作品信息表和授权书</w:t>
      </w:r>
      <w:r>
        <w:rPr>
          <w:rFonts w:hint="eastAsia" w:ascii="仿宋" w:hAnsi="仿宋" w:eastAsia="仿宋"/>
          <w:sz w:val="32"/>
          <w:szCs w:val="32"/>
        </w:rPr>
        <w:t>；</w:t>
      </w:r>
    </w:p>
    <w:p w14:paraId="7C834E5F">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"mailto:5.作者所在科室负责人需对作品进行审核签名、加盖科室印章，连同科普作品使用授权书一起发送至投稿邮箱kpzl2023@163.com。"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3.原创作品作者所在科室负责人需对作品进行审核，在作品信息表（附件2）上签名和加盖科室印章，连同作品和作品使用授权书（附件3）一并发送至指定邮箱。</w:t>
      </w:r>
    </w:p>
    <w:p w14:paraId="0A3CBE3A">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4.已发布作品连同发布链接，备注好文件名发送至指定邮箱。</w:t>
      </w:r>
    </w:p>
    <w:p w14:paraId="7B2FA5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sz w:val="32"/>
          <w:szCs w:val="32"/>
        </w:rPr>
      </w:pPr>
      <w:r>
        <w:rPr>
          <w:rFonts w:hint="eastAsia" w:ascii="黑体" w:hAnsi="黑体" w:eastAsia="黑体"/>
          <w:b/>
          <w:sz w:val="32"/>
          <w:szCs w:val="32"/>
          <w:lang w:val="en-US" w:eastAsia="zh-CN"/>
        </w:rPr>
        <w:t>五</w:t>
      </w:r>
      <w:r>
        <w:rPr>
          <w:rFonts w:hint="eastAsia" w:ascii="黑体" w:hAnsi="黑体" w:eastAsia="黑体"/>
          <w:b/>
          <w:sz w:val="32"/>
          <w:szCs w:val="32"/>
        </w:rPr>
        <w:t>、征集评选</w:t>
      </w:r>
    </w:p>
    <w:p w14:paraId="7D0B9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rPr>
        <w:t>（一）</w:t>
      </w:r>
      <w:r>
        <w:rPr>
          <w:rFonts w:hint="eastAsia" w:ascii="楷体" w:hAnsi="楷体" w:eastAsia="楷体" w:cs="楷体"/>
          <w:b w:val="0"/>
          <w:bCs/>
          <w:sz w:val="32"/>
          <w:szCs w:val="32"/>
          <w:lang w:val="en-US" w:eastAsia="zh-CN"/>
        </w:rPr>
        <w:t>征集与报送</w:t>
      </w:r>
    </w:p>
    <w:p w14:paraId="478984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1.全年范围内征集有效；</w:t>
      </w:r>
    </w:p>
    <w:p w14:paraId="0460D1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lang w:val="en-US" w:eastAsia="zh-CN"/>
        </w:rPr>
        <w:t>征集到的稿件</w:t>
      </w:r>
      <w:r>
        <w:rPr>
          <w:rFonts w:ascii="仿宋" w:hAnsi="仿宋" w:eastAsia="仿宋"/>
          <w:sz w:val="32"/>
          <w:szCs w:val="32"/>
        </w:rPr>
        <w:t>一律不退稿。</w:t>
      </w:r>
    </w:p>
    <w:p w14:paraId="2F27367E">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rPr>
        <w:t>（二）评审</w:t>
      </w:r>
      <w:r>
        <w:rPr>
          <w:rFonts w:hint="eastAsia" w:ascii="楷体" w:hAnsi="楷体" w:eastAsia="楷体" w:cs="楷体"/>
          <w:b w:val="0"/>
          <w:bCs/>
          <w:sz w:val="32"/>
          <w:szCs w:val="32"/>
          <w:lang w:val="en-US" w:eastAsia="zh-CN"/>
        </w:rPr>
        <w:t>与修改</w:t>
      </w:r>
    </w:p>
    <w:p w14:paraId="3E96F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1.工作组成员对稿件进行继作者所在科室负责人审核之后的第二次审核，合格作品推荐至参加第三次评审；</w:t>
      </w:r>
    </w:p>
    <w:p w14:paraId="4E9D93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2.河南省药学会组织有关专家对二审之后的稿件进行第三次评审并提出修改意见；</w:t>
      </w:r>
    </w:p>
    <w:p w14:paraId="3E03EA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3.作者针对修改意见在规定时间内对作品进行修改，合格作品发布河南省药学会官网和公众号，经过作者同意，择优推荐至相关报刊发布。</w:t>
      </w:r>
    </w:p>
    <w:p w14:paraId="61874E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（三）表彰与奖励</w:t>
      </w:r>
    </w:p>
    <w:p w14:paraId="20C69FB4">
      <w:pPr>
        <w:keepNext w:val="0"/>
        <w:keepLines w:val="0"/>
        <w:pageBreakBefore w:val="0"/>
        <w:widowControl w:val="0"/>
        <w:kinsoku/>
        <w:wordWrap/>
        <w:overflowPunct/>
        <w:topLinePunct w:val="0"/>
        <w:autoSpaceDE/>
        <w:autoSpaceDN/>
        <w:bidi w:val="0"/>
        <w:adjustRightInd/>
        <w:snapToGrid/>
        <w:spacing w:line="600" w:lineRule="exact"/>
        <w:ind w:left="120"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择期举办优秀作品展示活动，合理</w:t>
      </w:r>
      <w:r>
        <w:rPr>
          <w:rFonts w:hint="eastAsia" w:ascii="仿宋" w:hAnsi="仿宋" w:eastAsia="仿宋"/>
          <w:sz w:val="32"/>
          <w:szCs w:val="32"/>
        </w:rPr>
        <w:t>设置</w:t>
      </w:r>
      <w:r>
        <w:rPr>
          <w:rFonts w:hint="eastAsia" w:ascii="仿宋" w:hAnsi="仿宋" w:eastAsia="仿宋"/>
          <w:sz w:val="32"/>
          <w:szCs w:val="32"/>
          <w:lang w:val="en-US" w:eastAsia="zh-CN"/>
        </w:rPr>
        <w:t>奖项，对优秀作品作者和优秀报送单位</w:t>
      </w:r>
      <w:r>
        <w:rPr>
          <w:rFonts w:hint="eastAsia" w:ascii="仿宋" w:hAnsi="仿宋" w:eastAsia="仿宋"/>
          <w:sz w:val="32"/>
          <w:szCs w:val="32"/>
        </w:rPr>
        <w:t>给予表彰</w:t>
      </w:r>
      <w:r>
        <w:rPr>
          <w:rFonts w:hint="eastAsia" w:ascii="仿宋" w:hAnsi="仿宋" w:eastAsia="仿宋"/>
          <w:sz w:val="32"/>
          <w:szCs w:val="32"/>
          <w:lang w:eastAsia="zh-CN"/>
        </w:rPr>
        <w:t>。</w:t>
      </w:r>
    </w:p>
    <w:p w14:paraId="19016E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黑体" w:hAnsi="黑体" w:eastAsia="黑体"/>
          <w:b/>
          <w:sz w:val="32"/>
          <w:szCs w:val="32"/>
          <w:lang w:val="en-US" w:eastAsia="zh-CN"/>
        </w:rPr>
      </w:pPr>
      <w:r>
        <w:rPr>
          <w:rFonts w:hint="eastAsia" w:ascii="黑体" w:hAnsi="黑体" w:eastAsia="黑体"/>
          <w:b/>
          <w:sz w:val="32"/>
          <w:szCs w:val="32"/>
          <w:lang w:val="en-US" w:eastAsia="zh-CN"/>
        </w:rPr>
        <w:t>六、知识产权</w:t>
      </w:r>
    </w:p>
    <w:p w14:paraId="3D3182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1.原创作品无知识产权争议，参见（作品使用授权书）；</w:t>
      </w:r>
    </w:p>
    <w:p w14:paraId="45DC38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2.已发布作品一经投稿，默认为河南省药学会获得本作品转</w:t>
      </w:r>
    </w:p>
    <w:p w14:paraId="36E0523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黑体" w:hAnsi="黑体" w:eastAsia="黑体"/>
          <w:b/>
          <w:sz w:val="32"/>
          <w:szCs w:val="32"/>
          <w:lang w:val="en-US" w:eastAsia="zh-CN"/>
        </w:rPr>
      </w:pPr>
      <w:r>
        <w:rPr>
          <w:rFonts w:hint="eastAsia" w:ascii="仿宋" w:hAnsi="仿宋" w:eastAsia="仿宋"/>
          <w:sz w:val="32"/>
          <w:szCs w:val="32"/>
          <w:lang w:val="en-US" w:eastAsia="zh-CN"/>
        </w:rPr>
        <w:t>载权和评审权，转载时河南省药学会标注本视频转自</w:t>
      </w:r>
      <w:r>
        <w:rPr>
          <w:rFonts w:hint="default" w:ascii="Arial" w:hAnsi="Arial" w:eastAsia="仿宋" w:cs="Arial"/>
          <w:sz w:val="32"/>
          <w:szCs w:val="32"/>
          <w:lang w:val="en-US" w:eastAsia="zh-CN"/>
        </w:rPr>
        <w:t>××</w:t>
      </w:r>
      <w:r>
        <w:rPr>
          <w:rFonts w:hint="eastAsia" w:ascii="Arial" w:hAnsi="Arial" w:eastAsia="仿宋" w:cs="Arial"/>
          <w:sz w:val="32"/>
          <w:szCs w:val="32"/>
          <w:lang w:val="en-US" w:eastAsia="zh-CN"/>
        </w:rPr>
        <w:t>网站、公众号或视频号等</w:t>
      </w:r>
      <w:r>
        <w:rPr>
          <w:rFonts w:hint="eastAsia" w:ascii="仿宋" w:hAnsi="仿宋" w:eastAsia="仿宋"/>
          <w:sz w:val="32"/>
          <w:szCs w:val="32"/>
          <w:lang w:val="en-US" w:eastAsia="zh-CN"/>
        </w:rPr>
        <w:t>。</w:t>
      </w:r>
    </w:p>
    <w:p w14:paraId="5FF9EA79">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ascii="黑体" w:hAnsi="黑体" w:eastAsia="黑体"/>
          <w:b/>
          <w:sz w:val="32"/>
          <w:szCs w:val="32"/>
        </w:rPr>
      </w:pPr>
      <w:r>
        <w:rPr>
          <w:rFonts w:hint="eastAsia" w:ascii="黑体" w:hAnsi="黑体" w:eastAsia="黑体"/>
          <w:b/>
          <w:sz w:val="32"/>
          <w:szCs w:val="32"/>
          <w:lang w:val="en-US" w:eastAsia="zh-CN"/>
        </w:rPr>
        <w:t>七</w:t>
      </w:r>
      <w:r>
        <w:rPr>
          <w:rFonts w:hint="eastAsia" w:ascii="黑体" w:hAnsi="黑体" w:eastAsia="黑体"/>
          <w:b/>
          <w:sz w:val="32"/>
          <w:szCs w:val="32"/>
        </w:rPr>
        <w:t>、联系方式</w:t>
      </w:r>
    </w:p>
    <w:p w14:paraId="1C44BCC8">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val="en-US" w:eastAsia="zh-CN"/>
        </w:rPr>
      </w:pPr>
      <w:r>
        <w:rPr>
          <w:rFonts w:hint="eastAsia" w:ascii="仿宋" w:hAnsi="仿宋" w:eastAsia="仿宋"/>
          <w:sz w:val="32"/>
          <w:szCs w:val="32"/>
        </w:rPr>
        <w:t>联</w:t>
      </w:r>
      <w:r>
        <w:rPr>
          <w:rFonts w:hint="eastAsia" w:ascii="仿宋" w:hAnsi="仿宋" w:eastAsia="仿宋"/>
          <w:sz w:val="32"/>
          <w:szCs w:val="32"/>
          <w:lang w:val="en-US" w:eastAsia="zh-CN"/>
        </w:rPr>
        <w:t xml:space="preserve"> </w:t>
      </w:r>
      <w:r>
        <w:rPr>
          <w:rFonts w:ascii="仿宋" w:hAnsi="仿宋" w:eastAsia="仿宋"/>
          <w:sz w:val="32"/>
          <w:szCs w:val="32"/>
        </w:rPr>
        <w:t>系</w:t>
      </w:r>
      <w:r>
        <w:rPr>
          <w:rFonts w:hint="eastAsia" w:ascii="仿宋" w:hAnsi="仿宋" w:eastAsia="仿宋"/>
          <w:sz w:val="32"/>
          <w:szCs w:val="32"/>
          <w:lang w:val="en-US" w:eastAsia="zh-CN"/>
        </w:rPr>
        <w:t xml:space="preserve"> </w:t>
      </w:r>
      <w:r>
        <w:rPr>
          <w:rFonts w:ascii="仿宋" w:hAnsi="仿宋" w:eastAsia="仿宋"/>
          <w:sz w:val="32"/>
          <w:szCs w:val="32"/>
        </w:rPr>
        <w:t>人：</w:t>
      </w:r>
      <w:r>
        <w:rPr>
          <w:rFonts w:hint="eastAsia" w:ascii="仿宋" w:hAnsi="仿宋" w:eastAsia="仿宋"/>
          <w:sz w:val="32"/>
          <w:szCs w:val="32"/>
          <w:lang w:val="en-US" w:eastAsia="zh-CN"/>
        </w:rPr>
        <w:t xml:space="preserve">贺老师 15617518756  </w:t>
      </w:r>
    </w:p>
    <w:p w14:paraId="44BB634D">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ascii="仿宋" w:hAnsi="仿宋" w:eastAsia="仿宋"/>
          <w:sz w:val="32"/>
          <w:szCs w:val="32"/>
        </w:rPr>
      </w:pPr>
      <w:r>
        <w:rPr>
          <w:rFonts w:hint="eastAsia" w:ascii="仿宋" w:hAnsi="仿宋" w:eastAsia="仿宋"/>
          <w:sz w:val="32"/>
          <w:szCs w:val="32"/>
          <w:lang w:val="en-US" w:eastAsia="zh-CN"/>
        </w:rPr>
        <w:t>投稿邮箱</w:t>
      </w:r>
      <w:r>
        <w:rPr>
          <w:rFonts w:hint="eastAsia" w:ascii="仿宋" w:hAnsi="仿宋" w:eastAsia="仿宋"/>
          <w:sz w:val="32"/>
          <w:szCs w:val="32"/>
        </w:rPr>
        <w:t>：</w:t>
      </w:r>
      <w:r>
        <w:rPr>
          <w:rFonts w:hint="eastAsia" w:ascii="仿宋" w:hAnsi="仿宋" w:eastAsia="仿宋"/>
          <w:sz w:val="32"/>
          <w:szCs w:val="32"/>
          <w:lang w:val="en-US" w:eastAsia="zh-CN"/>
        </w:rPr>
        <w:t>kpzl2023@163.com（注：邮箱前四位字母是科普专栏的首字母）。</w:t>
      </w:r>
    </w:p>
    <w:p w14:paraId="7487D3C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附件：1.节日/健康日汇总表</w:t>
      </w:r>
    </w:p>
    <w:p w14:paraId="08A15A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00" w:firstLine="1600" w:firstLineChars="5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2.作品信息表</w:t>
      </w:r>
    </w:p>
    <w:p w14:paraId="0EF413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00" w:firstLine="1600" w:firstLineChars="500"/>
        <w:textAlignment w:val="auto"/>
        <w:rPr>
          <w:rFonts w:hint="default" w:ascii="仿宋" w:hAnsi="仿宋" w:eastAsia="仿宋"/>
          <w:sz w:val="32"/>
          <w:szCs w:val="32"/>
          <w:lang w:val="en-US" w:eastAsia="zh-CN"/>
        </w:rPr>
      </w:pPr>
      <w:bookmarkStart w:id="0" w:name="_GoBack"/>
      <w:bookmarkEnd w:id="0"/>
      <w:r>
        <w:rPr>
          <w:rFonts w:hint="eastAsia" w:ascii="仿宋" w:hAnsi="仿宋" w:eastAsia="仿宋"/>
          <w:sz w:val="32"/>
          <w:szCs w:val="32"/>
          <w:lang w:val="en-US" w:eastAsia="zh-CN"/>
        </w:rPr>
        <w:t>3.作品使用授权书</w:t>
      </w:r>
    </w:p>
    <w:p w14:paraId="0712095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jc w:val="both"/>
        <w:textAlignment w:val="auto"/>
        <w:rPr>
          <w:rFonts w:hint="eastAsia" w:ascii="仿宋" w:hAnsi="仿宋" w:eastAsia="仿宋"/>
          <w:sz w:val="32"/>
          <w:szCs w:val="32"/>
          <w:lang w:val="en-US" w:eastAsia="zh-CN"/>
        </w:rPr>
      </w:pPr>
    </w:p>
    <w:p w14:paraId="4C38947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jc w:val="both"/>
        <w:textAlignment w:val="auto"/>
        <w:rPr>
          <w:rFonts w:hint="eastAsia" w:ascii="仿宋" w:hAnsi="仿宋" w:eastAsia="仿宋"/>
          <w:sz w:val="32"/>
          <w:szCs w:val="32"/>
          <w:lang w:val="en-US" w:eastAsia="zh-CN"/>
        </w:rPr>
      </w:pPr>
    </w:p>
    <w:p w14:paraId="1D87223E">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2025年7月22日</w:t>
      </w:r>
    </w:p>
    <w:p w14:paraId="052FABBA">
      <w:pPr>
        <w:jc w:val="both"/>
        <w:rPr>
          <w:rFonts w:hint="eastAsia" w:ascii="黑体" w:hAnsi="黑体" w:eastAsia="黑体" w:cs="黑体"/>
          <w:b/>
          <w:bCs/>
          <w:sz w:val="32"/>
          <w:szCs w:val="32"/>
          <w:lang w:val="en-US" w:eastAsia="zh-CN"/>
        </w:rPr>
      </w:pPr>
    </w:p>
    <w:p w14:paraId="2BD315DE">
      <w:pPr>
        <w:jc w:val="both"/>
        <w:rPr>
          <w:rFonts w:hint="eastAsia" w:ascii="黑体" w:hAnsi="黑体" w:eastAsia="黑体" w:cs="黑体"/>
          <w:b/>
          <w:bCs/>
          <w:sz w:val="32"/>
          <w:szCs w:val="32"/>
          <w:lang w:val="en-US" w:eastAsia="zh-CN"/>
        </w:rPr>
      </w:pPr>
    </w:p>
    <w:p w14:paraId="270240F1">
      <w:pPr>
        <w:jc w:val="both"/>
        <w:rPr>
          <w:rFonts w:hint="eastAsia" w:ascii="黑体" w:hAnsi="黑体" w:eastAsia="黑体" w:cs="黑体"/>
          <w:b/>
          <w:bCs/>
          <w:sz w:val="32"/>
          <w:szCs w:val="32"/>
          <w:lang w:val="en-US" w:eastAsia="zh-CN"/>
        </w:rPr>
      </w:pPr>
    </w:p>
    <w:p w14:paraId="3E20304B">
      <w:pPr>
        <w:jc w:val="both"/>
        <w:rPr>
          <w:rFonts w:hint="eastAsia" w:ascii="黑体" w:hAnsi="黑体" w:eastAsia="黑体" w:cs="黑体"/>
          <w:b/>
          <w:bCs/>
          <w:sz w:val="32"/>
          <w:szCs w:val="32"/>
          <w:lang w:val="en-US" w:eastAsia="zh-CN"/>
        </w:rPr>
      </w:pPr>
    </w:p>
    <w:p w14:paraId="79980B32">
      <w:pPr>
        <w:jc w:val="both"/>
        <w:rPr>
          <w:rFonts w:hint="eastAsia" w:ascii="宋体" w:hAnsi="宋体" w:eastAsia="宋体" w:cs="宋体"/>
          <w:b/>
          <w:bCs/>
          <w:sz w:val="48"/>
          <w:szCs w:val="48"/>
          <w:lang w:eastAsia="zh-CN"/>
        </w:rPr>
      </w:pPr>
      <w:r>
        <w:rPr>
          <w:rFonts w:hint="eastAsia" w:ascii="黑体" w:hAnsi="黑体" w:eastAsia="黑体" w:cs="黑体"/>
          <w:b/>
          <w:bCs/>
          <w:sz w:val="32"/>
          <w:szCs w:val="32"/>
          <w:lang w:val="en-US" w:eastAsia="zh-CN"/>
        </w:rPr>
        <w:t xml:space="preserve">附件1   </w:t>
      </w:r>
      <w:r>
        <w:rPr>
          <w:rFonts w:hint="eastAsia" w:ascii="黑体" w:hAnsi="黑体" w:eastAsia="黑体" w:cs="黑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color w:val="000000"/>
          <w:kern w:val="0"/>
          <w:sz w:val="32"/>
          <w:szCs w:val="32"/>
        </w:rPr>
        <w:t>节日/健康日</w:t>
      </w:r>
      <w:r>
        <w:rPr>
          <w:rFonts w:hint="eastAsia" w:ascii="宋体" w:hAnsi="宋体" w:eastAsia="宋体" w:cs="宋体"/>
          <w:b/>
          <w:bCs/>
          <w:color w:val="000000"/>
          <w:kern w:val="0"/>
          <w:sz w:val="32"/>
          <w:szCs w:val="32"/>
          <w:lang w:val="en-US" w:eastAsia="zh-CN"/>
        </w:rPr>
        <w:t>汇总表</w:t>
      </w:r>
    </w:p>
    <w:tbl>
      <w:tblPr>
        <w:tblStyle w:val="7"/>
        <w:tblW w:w="9451"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064"/>
        <w:gridCol w:w="6226"/>
      </w:tblGrid>
      <w:tr w14:paraId="21FE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Align w:val="center"/>
          </w:tcPr>
          <w:p w14:paraId="255665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4"/>
                <w:szCs w:val="24"/>
                <w:vertAlign w:val="baseline"/>
                <w:lang w:eastAsia="zh-CN"/>
              </w:rPr>
            </w:pPr>
            <w:r>
              <w:rPr>
                <w:rFonts w:hint="eastAsia" w:ascii="微软雅黑" w:hAnsi="微软雅黑" w:eastAsia="微软雅黑" w:cs="微软雅黑"/>
                <w:b/>
                <w:bCs/>
                <w:sz w:val="24"/>
                <w:szCs w:val="24"/>
                <w:vertAlign w:val="baseline"/>
                <w:lang w:eastAsia="zh-CN"/>
              </w:rPr>
              <w:t>月</w:t>
            </w:r>
            <w:r>
              <w:rPr>
                <w:rFonts w:hint="eastAsia" w:ascii="微软雅黑" w:hAnsi="微软雅黑" w:eastAsia="微软雅黑" w:cs="微软雅黑"/>
                <w:b/>
                <w:bCs/>
                <w:sz w:val="24"/>
                <w:szCs w:val="24"/>
                <w:vertAlign w:val="baseline"/>
                <w:lang w:val="en-US" w:eastAsia="zh-CN"/>
              </w:rPr>
              <w:t xml:space="preserve"> </w:t>
            </w:r>
            <w:r>
              <w:rPr>
                <w:rFonts w:hint="eastAsia" w:ascii="微软雅黑" w:hAnsi="微软雅黑" w:eastAsia="微软雅黑" w:cs="微软雅黑"/>
                <w:b/>
                <w:bCs/>
                <w:sz w:val="24"/>
                <w:szCs w:val="24"/>
                <w:vertAlign w:val="baseline"/>
                <w:lang w:eastAsia="zh-CN"/>
              </w:rPr>
              <w:t>份</w:t>
            </w:r>
          </w:p>
        </w:tc>
        <w:tc>
          <w:tcPr>
            <w:tcW w:w="2064" w:type="dxa"/>
            <w:vAlign w:val="center"/>
          </w:tcPr>
          <w:p w14:paraId="25D946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4"/>
                <w:szCs w:val="24"/>
                <w:vertAlign w:val="baseline"/>
                <w:lang w:eastAsia="zh-CN"/>
              </w:rPr>
            </w:pPr>
            <w:r>
              <w:rPr>
                <w:rFonts w:hint="eastAsia" w:ascii="微软雅黑" w:hAnsi="微软雅黑" w:eastAsia="微软雅黑" w:cs="微软雅黑"/>
                <w:b/>
                <w:bCs/>
                <w:sz w:val="24"/>
                <w:szCs w:val="24"/>
                <w:vertAlign w:val="baseline"/>
                <w:lang w:eastAsia="zh-CN"/>
              </w:rPr>
              <w:t>日</w:t>
            </w:r>
            <w:r>
              <w:rPr>
                <w:rFonts w:hint="eastAsia" w:ascii="微软雅黑" w:hAnsi="微软雅黑" w:eastAsia="微软雅黑" w:cs="微软雅黑"/>
                <w:b/>
                <w:bCs/>
                <w:sz w:val="24"/>
                <w:szCs w:val="24"/>
                <w:vertAlign w:val="baseline"/>
                <w:lang w:val="en-US" w:eastAsia="zh-CN"/>
              </w:rPr>
              <w:t xml:space="preserve"> </w:t>
            </w:r>
            <w:r>
              <w:rPr>
                <w:rFonts w:hint="eastAsia" w:ascii="微软雅黑" w:hAnsi="微软雅黑" w:eastAsia="微软雅黑" w:cs="微软雅黑"/>
                <w:b/>
                <w:bCs/>
                <w:sz w:val="24"/>
                <w:szCs w:val="24"/>
                <w:vertAlign w:val="baseline"/>
                <w:lang w:eastAsia="zh-CN"/>
              </w:rPr>
              <w:t>期</w:t>
            </w:r>
          </w:p>
        </w:tc>
        <w:tc>
          <w:tcPr>
            <w:tcW w:w="6226" w:type="dxa"/>
            <w:vAlign w:val="center"/>
          </w:tcPr>
          <w:p w14:paraId="1D6B82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4"/>
                <w:szCs w:val="24"/>
                <w:vertAlign w:val="baseline"/>
                <w:lang w:eastAsia="zh-CN"/>
              </w:rPr>
            </w:pPr>
            <w:r>
              <w:rPr>
                <w:rFonts w:hint="eastAsia" w:ascii="微软雅黑" w:hAnsi="微软雅黑" w:eastAsia="微软雅黑" w:cs="微软雅黑"/>
                <w:b/>
                <w:bCs/>
                <w:sz w:val="24"/>
                <w:szCs w:val="24"/>
                <w:vertAlign w:val="baseline"/>
                <w:lang w:eastAsia="zh-CN"/>
              </w:rPr>
              <w:t>节日名称</w:t>
            </w:r>
          </w:p>
        </w:tc>
      </w:tr>
      <w:tr w14:paraId="4437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Align w:val="center"/>
          </w:tcPr>
          <w:p w14:paraId="208301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1月</w:t>
            </w:r>
          </w:p>
        </w:tc>
        <w:tc>
          <w:tcPr>
            <w:tcW w:w="2064" w:type="dxa"/>
            <w:vAlign w:val="center"/>
          </w:tcPr>
          <w:p w14:paraId="3F10D7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最后周日</w:t>
            </w:r>
          </w:p>
        </w:tc>
        <w:tc>
          <w:tcPr>
            <w:tcW w:w="6226" w:type="dxa"/>
            <w:vAlign w:val="center"/>
          </w:tcPr>
          <w:p w14:paraId="13C0E5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世界防治麻</w:t>
            </w:r>
            <w:r>
              <w:rPr>
                <w:rFonts w:hint="eastAsia" w:ascii="微软雅黑" w:hAnsi="微软雅黑" w:eastAsia="微软雅黑" w:cs="微软雅黑"/>
                <w:b w:val="0"/>
                <w:bCs w:val="0"/>
                <w:sz w:val="24"/>
                <w:szCs w:val="24"/>
                <w:vertAlign w:val="baseline"/>
                <w:lang w:val="en-US" w:eastAsia="zh-CN"/>
              </w:rPr>
              <w:t>风病</w:t>
            </w:r>
            <w:r>
              <w:rPr>
                <w:rFonts w:hint="eastAsia" w:ascii="微软雅黑" w:hAnsi="微软雅黑" w:eastAsia="微软雅黑" w:cs="微软雅黑"/>
                <w:b w:val="0"/>
                <w:bCs w:val="0"/>
                <w:sz w:val="24"/>
                <w:szCs w:val="24"/>
                <w:vertAlign w:val="baseline"/>
                <w:lang w:eastAsia="zh-CN"/>
              </w:rPr>
              <w:t>日</w:t>
            </w:r>
          </w:p>
        </w:tc>
      </w:tr>
      <w:tr w14:paraId="2642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Align w:val="center"/>
          </w:tcPr>
          <w:p w14:paraId="14A50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2月</w:t>
            </w:r>
          </w:p>
        </w:tc>
        <w:tc>
          <w:tcPr>
            <w:tcW w:w="2064" w:type="dxa"/>
            <w:vAlign w:val="center"/>
          </w:tcPr>
          <w:p w14:paraId="714FB0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2月4日</w:t>
            </w:r>
          </w:p>
        </w:tc>
        <w:tc>
          <w:tcPr>
            <w:tcW w:w="6226" w:type="dxa"/>
            <w:vAlign w:val="center"/>
          </w:tcPr>
          <w:p w14:paraId="44746A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世界抗癌日</w:t>
            </w:r>
          </w:p>
        </w:tc>
      </w:tr>
      <w:tr w14:paraId="47B0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6FC223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w:t>
            </w:r>
          </w:p>
        </w:tc>
        <w:tc>
          <w:tcPr>
            <w:tcW w:w="2064" w:type="dxa"/>
            <w:vAlign w:val="center"/>
          </w:tcPr>
          <w:p w14:paraId="756831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3月1日</w:t>
            </w:r>
          </w:p>
        </w:tc>
        <w:tc>
          <w:tcPr>
            <w:tcW w:w="6226" w:type="dxa"/>
            <w:vAlign w:val="center"/>
          </w:tcPr>
          <w:p w14:paraId="1F63D9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世界艾滋病零歧视日</w:t>
            </w:r>
          </w:p>
        </w:tc>
      </w:tr>
      <w:tr w14:paraId="4F3D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323225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4D37A8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3月3日</w:t>
            </w:r>
          </w:p>
        </w:tc>
        <w:tc>
          <w:tcPr>
            <w:tcW w:w="6226" w:type="dxa"/>
            <w:vAlign w:val="center"/>
          </w:tcPr>
          <w:p w14:paraId="2E88A6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全国爱耳日</w:t>
            </w:r>
          </w:p>
        </w:tc>
      </w:tr>
      <w:tr w14:paraId="425C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92ADA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2B87A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3月6日</w:t>
            </w:r>
          </w:p>
        </w:tc>
        <w:tc>
          <w:tcPr>
            <w:tcW w:w="6226" w:type="dxa"/>
            <w:vAlign w:val="center"/>
          </w:tcPr>
          <w:p w14:paraId="76B63A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世界青光眼日</w:t>
            </w:r>
          </w:p>
        </w:tc>
      </w:tr>
      <w:tr w14:paraId="2404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E7EBB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7B7ECB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3月8日</w:t>
            </w:r>
          </w:p>
        </w:tc>
        <w:tc>
          <w:tcPr>
            <w:tcW w:w="6226" w:type="dxa"/>
            <w:vAlign w:val="center"/>
          </w:tcPr>
          <w:p w14:paraId="2CB06D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妇女节</w:t>
            </w:r>
          </w:p>
        </w:tc>
      </w:tr>
      <w:tr w14:paraId="53BB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23D80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62DA5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第二周四</w:t>
            </w:r>
          </w:p>
        </w:tc>
        <w:tc>
          <w:tcPr>
            <w:tcW w:w="6226" w:type="dxa"/>
            <w:vAlign w:val="center"/>
          </w:tcPr>
          <w:p w14:paraId="3BE49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世界肾脏病日</w:t>
            </w:r>
          </w:p>
        </w:tc>
      </w:tr>
      <w:tr w14:paraId="0917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64238F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265ED1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3月18日</w:t>
            </w:r>
          </w:p>
        </w:tc>
        <w:tc>
          <w:tcPr>
            <w:tcW w:w="6226" w:type="dxa"/>
            <w:vAlign w:val="center"/>
          </w:tcPr>
          <w:p w14:paraId="7FA9D8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全国爱肝日</w:t>
            </w:r>
          </w:p>
        </w:tc>
      </w:tr>
      <w:tr w14:paraId="4429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DCFF0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112F4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3月20日</w:t>
            </w:r>
          </w:p>
        </w:tc>
        <w:tc>
          <w:tcPr>
            <w:tcW w:w="6226" w:type="dxa"/>
            <w:vAlign w:val="center"/>
          </w:tcPr>
          <w:p w14:paraId="19F6B3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世界口腔健康日</w:t>
            </w:r>
          </w:p>
        </w:tc>
      </w:tr>
      <w:tr w14:paraId="6C39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5B99B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FB75F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3月21日</w:t>
            </w:r>
          </w:p>
        </w:tc>
        <w:tc>
          <w:tcPr>
            <w:tcW w:w="6226" w:type="dxa"/>
            <w:vAlign w:val="center"/>
          </w:tcPr>
          <w:p w14:paraId="1B2CA2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世界睡眠日</w:t>
            </w:r>
          </w:p>
        </w:tc>
      </w:tr>
      <w:tr w14:paraId="3372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30F29D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7A4CB4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3月24日</w:t>
            </w:r>
          </w:p>
        </w:tc>
        <w:tc>
          <w:tcPr>
            <w:tcW w:w="6226" w:type="dxa"/>
            <w:vAlign w:val="center"/>
          </w:tcPr>
          <w:p w14:paraId="014365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世界防治结核病日</w:t>
            </w:r>
          </w:p>
        </w:tc>
      </w:tr>
      <w:tr w14:paraId="0CA7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0E15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964BE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最后周一</w:t>
            </w:r>
          </w:p>
        </w:tc>
        <w:tc>
          <w:tcPr>
            <w:tcW w:w="6226" w:type="dxa"/>
            <w:vAlign w:val="center"/>
          </w:tcPr>
          <w:p w14:paraId="43F41E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全国中小学安全教育日</w:t>
            </w:r>
          </w:p>
        </w:tc>
      </w:tr>
      <w:tr w14:paraId="6245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6AB70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4月</w:t>
            </w:r>
          </w:p>
        </w:tc>
        <w:tc>
          <w:tcPr>
            <w:tcW w:w="2064" w:type="dxa"/>
            <w:vAlign w:val="center"/>
          </w:tcPr>
          <w:p w14:paraId="700D8E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4月7日</w:t>
            </w:r>
          </w:p>
        </w:tc>
        <w:tc>
          <w:tcPr>
            <w:tcW w:w="6226" w:type="dxa"/>
            <w:vAlign w:val="center"/>
          </w:tcPr>
          <w:p w14:paraId="0BD4E2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世界卫生日</w:t>
            </w:r>
          </w:p>
        </w:tc>
      </w:tr>
      <w:tr w14:paraId="1B86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E43BB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4B5AC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4月11日</w:t>
            </w:r>
          </w:p>
        </w:tc>
        <w:tc>
          <w:tcPr>
            <w:tcW w:w="6226" w:type="dxa"/>
            <w:vAlign w:val="center"/>
          </w:tcPr>
          <w:p w14:paraId="31A377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世界帕金森</w:t>
            </w:r>
            <w:r>
              <w:rPr>
                <w:rFonts w:hint="eastAsia" w:ascii="微软雅黑" w:hAnsi="微软雅黑" w:eastAsia="微软雅黑" w:cs="微软雅黑"/>
                <w:b w:val="0"/>
                <w:bCs w:val="0"/>
                <w:sz w:val="24"/>
                <w:szCs w:val="24"/>
                <w:vertAlign w:val="baseline"/>
                <w:lang w:val="en-US" w:eastAsia="zh-CN"/>
              </w:rPr>
              <w:t>病</w:t>
            </w:r>
            <w:r>
              <w:rPr>
                <w:rFonts w:hint="eastAsia" w:ascii="微软雅黑" w:hAnsi="微软雅黑" w:eastAsia="微软雅黑" w:cs="微软雅黑"/>
                <w:b w:val="0"/>
                <w:bCs w:val="0"/>
                <w:sz w:val="24"/>
                <w:szCs w:val="24"/>
                <w:vertAlign w:val="baseline"/>
                <w:lang w:eastAsia="zh-CN"/>
              </w:rPr>
              <w:t>日</w:t>
            </w:r>
          </w:p>
        </w:tc>
      </w:tr>
      <w:tr w14:paraId="281E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4898C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F70C1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4月15-21日</w:t>
            </w:r>
          </w:p>
        </w:tc>
        <w:tc>
          <w:tcPr>
            <w:tcW w:w="6226" w:type="dxa"/>
            <w:vAlign w:val="center"/>
          </w:tcPr>
          <w:p w14:paraId="433C2D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全国肿瘤防治宣传周</w:t>
            </w:r>
          </w:p>
        </w:tc>
      </w:tr>
      <w:tr w14:paraId="1F72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7AEE46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7CF5A3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4月17日</w:t>
            </w:r>
          </w:p>
        </w:tc>
        <w:tc>
          <w:tcPr>
            <w:tcW w:w="6226" w:type="dxa"/>
            <w:vAlign w:val="center"/>
          </w:tcPr>
          <w:p w14:paraId="5A7174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世界血友病日</w:t>
            </w:r>
          </w:p>
        </w:tc>
      </w:tr>
      <w:tr w14:paraId="22AD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4DD03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16742B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4月25日</w:t>
            </w:r>
          </w:p>
        </w:tc>
        <w:tc>
          <w:tcPr>
            <w:tcW w:w="6226" w:type="dxa"/>
            <w:vAlign w:val="center"/>
          </w:tcPr>
          <w:p w14:paraId="5D7A80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全国</w:t>
            </w:r>
            <w:r>
              <w:rPr>
                <w:rFonts w:hint="eastAsia" w:ascii="微软雅黑" w:hAnsi="微软雅黑" w:eastAsia="微软雅黑" w:cs="微软雅黑"/>
                <w:b w:val="0"/>
                <w:bCs w:val="0"/>
                <w:sz w:val="24"/>
                <w:szCs w:val="24"/>
                <w:vertAlign w:val="baseline"/>
                <w:lang w:val="en-US" w:eastAsia="zh-CN"/>
              </w:rPr>
              <w:t>儿童</w:t>
            </w:r>
            <w:r>
              <w:rPr>
                <w:rFonts w:hint="eastAsia" w:ascii="微软雅黑" w:hAnsi="微软雅黑" w:eastAsia="微软雅黑" w:cs="微软雅黑"/>
                <w:b w:val="0"/>
                <w:bCs w:val="0"/>
                <w:sz w:val="24"/>
                <w:szCs w:val="24"/>
                <w:vertAlign w:val="baseline"/>
                <w:lang w:eastAsia="zh-CN"/>
              </w:rPr>
              <w:t>预防接种宣传日</w:t>
            </w:r>
          </w:p>
        </w:tc>
      </w:tr>
      <w:tr w14:paraId="38AA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60E9B8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45F4B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4月26日</w:t>
            </w:r>
          </w:p>
        </w:tc>
        <w:tc>
          <w:tcPr>
            <w:tcW w:w="6226" w:type="dxa"/>
            <w:vAlign w:val="center"/>
          </w:tcPr>
          <w:p w14:paraId="0A2135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世界防治疟疾日</w:t>
            </w:r>
          </w:p>
        </w:tc>
      </w:tr>
      <w:tr w14:paraId="08C9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7E879B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3D667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最后一周</w:t>
            </w:r>
          </w:p>
        </w:tc>
        <w:tc>
          <w:tcPr>
            <w:tcW w:w="6226" w:type="dxa"/>
            <w:vAlign w:val="center"/>
          </w:tcPr>
          <w:p w14:paraId="5F009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职业病防治法宣传周</w:t>
            </w:r>
          </w:p>
        </w:tc>
      </w:tr>
      <w:tr w14:paraId="2223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315985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w:t>
            </w:r>
          </w:p>
        </w:tc>
        <w:tc>
          <w:tcPr>
            <w:tcW w:w="2064" w:type="dxa"/>
            <w:vAlign w:val="center"/>
          </w:tcPr>
          <w:p w14:paraId="50656C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第一周二</w:t>
            </w:r>
          </w:p>
        </w:tc>
        <w:tc>
          <w:tcPr>
            <w:tcW w:w="6226" w:type="dxa"/>
            <w:vAlign w:val="center"/>
          </w:tcPr>
          <w:p w14:paraId="70658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世界哮喘日</w:t>
            </w:r>
          </w:p>
        </w:tc>
      </w:tr>
      <w:tr w14:paraId="660A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9B0F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20B25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5月8日</w:t>
            </w:r>
          </w:p>
        </w:tc>
        <w:tc>
          <w:tcPr>
            <w:tcW w:w="6226" w:type="dxa"/>
            <w:vAlign w:val="center"/>
          </w:tcPr>
          <w:p w14:paraId="3685C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世界红十字日</w:t>
            </w:r>
          </w:p>
        </w:tc>
      </w:tr>
      <w:tr w14:paraId="4DCE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6C13F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751B6E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5月11日</w:t>
            </w:r>
          </w:p>
        </w:tc>
        <w:tc>
          <w:tcPr>
            <w:tcW w:w="6226" w:type="dxa"/>
            <w:vAlign w:val="center"/>
          </w:tcPr>
          <w:p w14:paraId="7EFEF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防治肥胖日</w:t>
            </w:r>
          </w:p>
        </w:tc>
      </w:tr>
      <w:tr w14:paraId="7410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735B2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72C76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5月12日</w:t>
            </w:r>
          </w:p>
        </w:tc>
        <w:tc>
          <w:tcPr>
            <w:tcW w:w="6226" w:type="dxa"/>
            <w:vAlign w:val="center"/>
          </w:tcPr>
          <w:p w14:paraId="09FAD8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国际护士节、</w:t>
            </w:r>
            <w:r>
              <w:rPr>
                <w:rFonts w:hint="eastAsia" w:ascii="微软雅黑" w:hAnsi="微软雅黑" w:eastAsia="微软雅黑" w:cs="微软雅黑"/>
                <w:b w:val="0"/>
                <w:bCs w:val="0"/>
                <w:sz w:val="24"/>
                <w:szCs w:val="24"/>
                <w:vertAlign w:val="baseline"/>
                <w:lang w:val="en-US" w:eastAsia="zh-CN"/>
              </w:rPr>
              <w:t>防灾减灾日</w:t>
            </w:r>
          </w:p>
        </w:tc>
      </w:tr>
      <w:tr w14:paraId="7D97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AA4AD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2B47E1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第二周六</w:t>
            </w:r>
          </w:p>
        </w:tc>
        <w:tc>
          <w:tcPr>
            <w:tcW w:w="6226" w:type="dxa"/>
            <w:vAlign w:val="center"/>
          </w:tcPr>
          <w:p w14:paraId="355CE4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世界高血压日</w:t>
            </w:r>
          </w:p>
        </w:tc>
      </w:tr>
      <w:tr w14:paraId="5648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21FFC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3FF309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第二周日</w:t>
            </w:r>
          </w:p>
        </w:tc>
        <w:tc>
          <w:tcPr>
            <w:tcW w:w="6226" w:type="dxa"/>
            <w:vAlign w:val="center"/>
          </w:tcPr>
          <w:p w14:paraId="111C6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母亲节</w:t>
            </w:r>
          </w:p>
        </w:tc>
      </w:tr>
      <w:tr w14:paraId="3F9D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790FF4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443719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5月15日</w:t>
            </w:r>
          </w:p>
        </w:tc>
        <w:tc>
          <w:tcPr>
            <w:tcW w:w="6226" w:type="dxa"/>
            <w:vAlign w:val="center"/>
          </w:tcPr>
          <w:p w14:paraId="327DB8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全国碘缺乏病宣传日</w:t>
            </w:r>
          </w:p>
        </w:tc>
      </w:tr>
      <w:tr w14:paraId="1880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300330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19286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5月20日</w:t>
            </w:r>
          </w:p>
        </w:tc>
        <w:tc>
          <w:tcPr>
            <w:tcW w:w="6226" w:type="dxa"/>
            <w:vAlign w:val="center"/>
          </w:tcPr>
          <w:p w14:paraId="172E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中国学生营养日、全国母乳喂养日</w:t>
            </w:r>
          </w:p>
        </w:tc>
      </w:tr>
      <w:tr w14:paraId="410B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ECD34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7970B4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w:t>
            </w:r>
          </w:p>
        </w:tc>
        <w:tc>
          <w:tcPr>
            <w:tcW w:w="6226" w:type="dxa"/>
            <w:vAlign w:val="center"/>
          </w:tcPr>
          <w:p w14:paraId="0BC37D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全民营养周</w:t>
            </w:r>
          </w:p>
        </w:tc>
      </w:tr>
      <w:tr w14:paraId="2D90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60CE07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267A38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第三周日</w:t>
            </w:r>
          </w:p>
        </w:tc>
        <w:tc>
          <w:tcPr>
            <w:tcW w:w="6226" w:type="dxa"/>
            <w:vAlign w:val="center"/>
          </w:tcPr>
          <w:p w14:paraId="30300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全国助残日、国际艾滋病烛光纪念日</w:t>
            </w:r>
          </w:p>
        </w:tc>
      </w:tr>
      <w:tr w14:paraId="0B94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20A62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3180F2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5月21日</w:t>
            </w:r>
          </w:p>
        </w:tc>
        <w:tc>
          <w:tcPr>
            <w:tcW w:w="6226" w:type="dxa"/>
            <w:vAlign w:val="center"/>
          </w:tcPr>
          <w:p w14:paraId="5D9320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世界脊柱健康日</w:t>
            </w:r>
          </w:p>
        </w:tc>
      </w:tr>
      <w:tr w14:paraId="3E8F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E3368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76A957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5月25日</w:t>
            </w:r>
          </w:p>
        </w:tc>
        <w:tc>
          <w:tcPr>
            <w:tcW w:w="6226" w:type="dxa"/>
            <w:vAlign w:val="center"/>
          </w:tcPr>
          <w:p w14:paraId="10FAC1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大学生心理健康日、世界预防中风日</w:t>
            </w:r>
          </w:p>
        </w:tc>
      </w:tr>
      <w:tr w14:paraId="509B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73978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6FD66A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5月31日</w:t>
            </w:r>
          </w:p>
        </w:tc>
        <w:tc>
          <w:tcPr>
            <w:tcW w:w="6226" w:type="dxa"/>
            <w:vAlign w:val="center"/>
          </w:tcPr>
          <w:p w14:paraId="18D91A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世界无烟日</w:t>
            </w:r>
          </w:p>
        </w:tc>
      </w:tr>
      <w:tr w14:paraId="4F83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2DA840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6月</w:t>
            </w:r>
          </w:p>
        </w:tc>
        <w:tc>
          <w:tcPr>
            <w:tcW w:w="2064" w:type="dxa"/>
            <w:vAlign w:val="center"/>
          </w:tcPr>
          <w:p w14:paraId="165462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6月5日</w:t>
            </w:r>
          </w:p>
        </w:tc>
        <w:tc>
          <w:tcPr>
            <w:tcW w:w="6226" w:type="dxa"/>
            <w:vAlign w:val="center"/>
          </w:tcPr>
          <w:p w14:paraId="7CDDA3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世界环境日</w:t>
            </w:r>
          </w:p>
        </w:tc>
      </w:tr>
      <w:tr w14:paraId="3C51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94D1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63E60B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6月6日</w:t>
            </w:r>
          </w:p>
        </w:tc>
        <w:tc>
          <w:tcPr>
            <w:tcW w:w="6226" w:type="dxa"/>
            <w:vAlign w:val="center"/>
          </w:tcPr>
          <w:p w14:paraId="457630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全国爱眼日</w:t>
            </w:r>
          </w:p>
        </w:tc>
      </w:tr>
      <w:tr w14:paraId="557A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2BD3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30425E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6月14日</w:t>
            </w:r>
          </w:p>
        </w:tc>
        <w:tc>
          <w:tcPr>
            <w:tcW w:w="6226" w:type="dxa"/>
            <w:vAlign w:val="center"/>
          </w:tcPr>
          <w:p w14:paraId="6223CA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世界献血</w:t>
            </w:r>
            <w:r>
              <w:rPr>
                <w:rFonts w:hint="eastAsia" w:ascii="微软雅黑" w:hAnsi="微软雅黑" w:eastAsia="微软雅黑" w:cs="微软雅黑"/>
                <w:b w:val="0"/>
                <w:bCs w:val="0"/>
                <w:sz w:val="24"/>
                <w:szCs w:val="24"/>
                <w:vertAlign w:val="baseline"/>
                <w:lang w:val="en-US" w:eastAsia="zh-CN"/>
              </w:rPr>
              <w:t>者</w:t>
            </w:r>
            <w:r>
              <w:rPr>
                <w:rFonts w:hint="eastAsia" w:ascii="微软雅黑" w:hAnsi="微软雅黑" w:eastAsia="微软雅黑" w:cs="微软雅黑"/>
                <w:b w:val="0"/>
                <w:bCs w:val="0"/>
                <w:sz w:val="24"/>
                <w:szCs w:val="24"/>
                <w:vertAlign w:val="baseline"/>
                <w:lang w:eastAsia="zh-CN"/>
              </w:rPr>
              <w:t>日</w:t>
            </w:r>
          </w:p>
        </w:tc>
      </w:tr>
      <w:tr w14:paraId="732C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5DE62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1A407D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w:t>
            </w:r>
          </w:p>
        </w:tc>
        <w:tc>
          <w:tcPr>
            <w:tcW w:w="6226" w:type="dxa"/>
            <w:vAlign w:val="center"/>
          </w:tcPr>
          <w:p w14:paraId="371A0F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食品安全宣传周</w:t>
            </w:r>
          </w:p>
        </w:tc>
      </w:tr>
      <w:tr w14:paraId="28D1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8F91B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7F4BF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第三周日</w:t>
            </w:r>
          </w:p>
        </w:tc>
        <w:tc>
          <w:tcPr>
            <w:tcW w:w="6226" w:type="dxa"/>
            <w:vAlign w:val="center"/>
          </w:tcPr>
          <w:p w14:paraId="353BC7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父亲节</w:t>
            </w:r>
          </w:p>
        </w:tc>
      </w:tr>
      <w:tr w14:paraId="7603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2A830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6EBC58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6月26日</w:t>
            </w:r>
          </w:p>
        </w:tc>
        <w:tc>
          <w:tcPr>
            <w:tcW w:w="6226" w:type="dxa"/>
            <w:vAlign w:val="center"/>
          </w:tcPr>
          <w:p w14:paraId="41A4EB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eastAsia="zh-CN"/>
              </w:rPr>
            </w:pPr>
            <w:r>
              <w:rPr>
                <w:rFonts w:hint="eastAsia" w:ascii="微软雅黑" w:hAnsi="微软雅黑" w:eastAsia="微软雅黑" w:cs="微软雅黑"/>
                <w:b w:val="0"/>
                <w:bCs w:val="0"/>
                <w:sz w:val="24"/>
                <w:szCs w:val="24"/>
                <w:vertAlign w:val="baseline"/>
                <w:lang w:eastAsia="zh-CN"/>
              </w:rPr>
              <w:t>国际禁毒日</w:t>
            </w:r>
          </w:p>
          <w:p w14:paraId="053FC7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r>
      <w:tr w14:paraId="7FB2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40D20C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7月</w:t>
            </w:r>
          </w:p>
        </w:tc>
        <w:tc>
          <w:tcPr>
            <w:tcW w:w="2064" w:type="dxa"/>
            <w:vAlign w:val="center"/>
          </w:tcPr>
          <w:p w14:paraId="47974F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7月8日</w:t>
            </w:r>
          </w:p>
        </w:tc>
        <w:tc>
          <w:tcPr>
            <w:tcW w:w="6226" w:type="dxa"/>
            <w:vAlign w:val="center"/>
          </w:tcPr>
          <w:p w14:paraId="1B230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世界过敏性疾病日</w:t>
            </w:r>
          </w:p>
        </w:tc>
      </w:tr>
      <w:tr w14:paraId="75B5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D8E64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129B4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7月11日</w:t>
            </w:r>
          </w:p>
        </w:tc>
        <w:tc>
          <w:tcPr>
            <w:tcW w:w="6226" w:type="dxa"/>
            <w:vAlign w:val="center"/>
          </w:tcPr>
          <w:p w14:paraId="2E98E7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世界人口日</w:t>
            </w:r>
          </w:p>
        </w:tc>
      </w:tr>
      <w:tr w14:paraId="4E60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07EE87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3E18AD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7月28日</w:t>
            </w:r>
          </w:p>
        </w:tc>
        <w:tc>
          <w:tcPr>
            <w:tcW w:w="6226" w:type="dxa"/>
            <w:vAlign w:val="center"/>
          </w:tcPr>
          <w:p w14:paraId="2DA8FB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世界肝炎日</w:t>
            </w:r>
          </w:p>
        </w:tc>
      </w:tr>
      <w:tr w14:paraId="5895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55E406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8月</w:t>
            </w:r>
          </w:p>
        </w:tc>
        <w:tc>
          <w:tcPr>
            <w:tcW w:w="2064" w:type="dxa"/>
            <w:vAlign w:val="center"/>
          </w:tcPr>
          <w:p w14:paraId="4A32B7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8月1—7日</w:t>
            </w:r>
          </w:p>
        </w:tc>
        <w:tc>
          <w:tcPr>
            <w:tcW w:w="6226" w:type="dxa"/>
            <w:vAlign w:val="center"/>
          </w:tcPr>
          <w:p w14:paraId="265D35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世界母乳喂养周</w:t>
            </w:r>
          </w:p>
        </w:tc>
      </w:tr>
      <w:tr w14:paraId="22AA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035B28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39E6C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农历7月初7</w:t>
            </w:r>
          </w:p>
        </w:tc>
        <w:tc>
          <w:tcPr>
            <w:tcW w:w="6226" w:type="dxa"/>
            <w:vAlign w:val="center"/>
          </w:tcPr>
          <w:p w14:paraId="1752AA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七夕节</w:t>
            </w:r>
          </w:p>
        </w:tc>
      </w:tr>
      <w:tr w14:paraId="1B0F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0D25DA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27CB6C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8月8日</w:t>
            </w:r>
          </w:p>
        </w:tc>
        <w:tc>
          <w:tcPr>
            <w:tcW w:w="6226" w:type="dxa"/>
            <w:vAlign w:val="center"/>
          </w:tcPr>
          <w:p w14:paraId="3F2964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全民健康日</w:t>
            </w:r>
          </w:p>
        </w:tc>
      </w:tr>
      <w:tr w14:paraId="3A5E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BE13D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6DD19F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8月19日</w:t>
            </w:r>
          </w:p>
        </w:tc>
        <w:tc>
          <w:tcPr>
            <w:tcW w:w="6226" w:type="dxa"/>
            <w:vAlign w:val="center"/>
          </w:tcPr>
          <w:p w14:paraId="395B4D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中国</w:t>
            </w:r>
            <w:r>
              <w:rPr>
                <w:rFonts w:hint="eastAsia" w:ascii="微软雅黑" w:hAnsi="微软雅黑" w:eastAsia="微软雅黑" w:cs="微软雅黑"/>
                <w:b w:val="0"/>
                <w:bCs w:val="0"/>
                <w:sz w:val="24"/>
                <w:szCs w:val="24"/>
                <w:vertAlign w:val="baseline"/>
                <w:lang w:eastAsia="zh-CN"/>
              </w:rPr>
              <w:t>医师节</w:t>
            </w:r>
          </w:p>
        </w:tc>
      </w:tr>
      <w:tr w14:paraId="208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3822C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w:t>
            </w:r>
          </w:p>
        </w:tc>
        <w:tc>
          <w:tcPr>
            <w:tcW w:w="2064" w:type="dxa"/>
            <w:vAlign w:val="center"/>
          </w:tcPr>
          <w:p w14:paraId="6E0C88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9月1日</w:t>
            </w:r>
          </w:p>
        </w:tc>
        <w:tc>
          <w:tcPr>
            <w:tcW w:w="6226" w:type="dxa"/>
            <w:vAlign w:val="center"/>
          </w:tcPr>
          <w:p w14:paraId="026218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全民健康生活方式行动日</w:t>
            </w:r>
          </w:p>
        </w:tc>
      </w:tr>
      <w:tr w14:paraId="3C95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835A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87392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9月10日</w:t>
            </w:r>
          </w:p>
        </w:tc>
        <w:tc>
          <w:tcPr>
            <w:tcW w:w="6226" w:type="dxa"/>
            <w:vAlign w:val="center"/>
          </w:tcPr>
          <w:p w14:paraId="2A58D7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世界预防自杀日</w:t>
            </w:r>
          </w:p>
        </w:tc>
      </w:tr>
      <w:tr w14:paraId="332B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CED90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CD6AB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第二周六</w:t>
            </w:r>
          </w:p>
        </w:tc>
        <w:tc>
          <w:tcPr>
            <w:tcW w:w="6226" w:type="dxa"/>
            <w:vAlign w:val="center"/>
          </w:tcPr>
          <w:p w14:paraId="5CB260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世界急救日</w:t>
            </w:r>
          </w:p>
        </w:tc>
      </w:tr>
      <w:tr w14:paraId="6310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0CF72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80E00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9月12日</w:t>
            </w:r>
          </w:p>
        </w:tc>
        <w:tc>
          <w:tcPr>
            <w:tcW w:w="6226" w:type="dxa"/>
            <w:vAlign w:val="center"/>
          </w:tcPr>
          <w:p w14:paraId="6BC217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中国预防出生缺陷日</w:t>
            </w:r>
          </w:p>
        </w:tc>
      </w:tr>
      <w:tr w14:paraId="4438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5E14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91A5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9月15日</w:t>
            </w:r>
          </w:p>
        </w:tc>
        <w:tc>
          <w:tcPr>
            <w:tcW w:w="6226" w:type="dxa"/>
            <w:vAlign w:val="center"/>
          </w:tcPr>
          <w:p w14:paraId="288791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世界淋巴瘤宣传日</w:t>
            </w:r>
          </w:p>
        </w:tc>
      </w:tr>
      <w:tr w14:paraId="54DC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6FC89F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6C7A2C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9月16日</w:t>
            </w:r>
          </w:p>
        </w:tc>
        <w:tc>
          <w:tcPr>
            <w:tcW w:w="6226" w:type="dxa"/>
            <w:vAlign w:val="center"/>
          </w:tcPr>
          <w:p w14:paraId="45B5C1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中国脑健康日</w:t>
            </w:r>
          </w:p>
        </w:tc>
      </w:tr>
      <w:tr w14:paraId="7D67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678A46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7BCC79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9月20日</w:t>
            </w:r>
          </w:p>
        </w:tc>
        <w:tc>
          <w:tcPr>
            <w:tcW w:w="6226" w:type="dxa"/>
            <w:vAlign w:val="center"/>
          </w:tcPr>
          <w:p w14:paraId="2E2E84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全国爱牙日</w:t>
            </w:r>
          </w:p>
        </w:tc>
      </w:tr>
      <w:tr w14:paraId="0588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623C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34F651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9月21日</w:t>
            </w:r>
          </w:p>
        </w:tc>
        <w:tc>
          <w:tcPr>
            <w:tcW w:w="6226" w:type="dxa"/>
            <w:vAlign w:val="center"/>
          </w:tcPr>
          <w:p w14:paraId="502708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世界老年痴呆病宣传日</w:t>
            </w:r>
          </w:p>
        </w:tc>
      </w:tr>
      <w:tr w14:paraId="270E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653C4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F417C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第三周日</w:t>
            </w:r>
          </w:p>
        </w:tc>
        <w:tc>
          <w:tcPr>
            <w:tcW w:w="6226" w:type="dxa"/>
            <w:vAlign w:val="center"/>
          </w:tcPr>
          <w:p w14:paraId="60ADA4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全国科普日</w:t>
            </w:r>
          </w:p>
        </w:tc>
      </w:tr>
      <w:tr w14:paraId="7320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381BF8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42CA8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9月25日</w:t>
            </w:r>
          </w:p>
        </w:tc>
        <w:tc>
          <w:tcPr>
            <w:tcW w:w="6226" w:type="dxa"/>
            <w:vAlign w:val="center"/>
          </w:tcPr>
          <w:p w14:paraId="55ACB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世界药师日</w:t>
            </w:r>
          </w:p>
        </w:tc>
      </w:tr>
      <w:tr w14:paraId="40ED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BF69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443B67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9月26日</w:t>
            </w:r>
          </w:p>
        </w:tc>
        <w:tc>
          <w:tcPr>
            <w:tcW w:w="6226" w:type="dxa"/>
            <w:vAlign w:val="center"/>
          </w:tcPr>
          <w:p w14:paraId="3686E6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世界避孕日</w:t>
            </w:r>
          </w:p>
        </w:tc>
      </w:tr>
      <w:tr w14:paraId="1F0E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1D195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2D870B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最后周日</w:t>
            </w:r>
          </w:p>
        </w:tc>
        <w:tc>
          <w:tcPr>
            <w:tcW w:w="6226" w:type="dxa"/>
            <w:vAlign w:val="center"/>
          </w:tcPr>
          <w:p w14:paraId="366A8D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国际聋人节、世界心脏日</w:t>
            </w:r>
          </w:p>
        </w:tc>
      </w:tr>
      <w:tr w14:paraId="001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C56C5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13A5AE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9月28日</w:t>
            </w:r>
          </w:p>
        </w:tc>
        <w:tc>
          <w:tcPr>
            <w:tcW w:w="6226" w:type="dxa"/>
            <w:vAlign w:val="center"/>
          </w:tcPr>
          <w:p w14:paraId="69488F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w:t>
            </w:r>
            <w:r>
              <w:rPr>
                <w:rFonts w:hint="eastAsia" w:ascii="微软雅黑" w:hAnsi="微软雅黑" w:eastAsia="微软雅黑" w:cs="微软雅黑"/>
                <w:b w:val="0"/>
                <w:bCs w:val="0"/>
                <w:sz w:val="24"/>
                <w:szCs w:val="24"/>
                <w:vertAlign w:val="baseline"/>
                <w:lang w:val="en-US" w:eastAsia="zh-CN"/>
              </w:rPr>
              <w:t>狂犬病日</w:t>
            </w:r>
          </w:p>
        </w:tc>
      </w:tr>
      <w:tr w14:paraId="2105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6FFB23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10月</w:t>
            </w:r>
          </w:p>
        </w:tc>
        <w:tc>
          <w:tcPr>
            <w:tcW w:w="2064" w:type="dxa"/>
            <w:vAlign w:val="center"/>
          </w:tcPr>
          <w:p w14:paraId="12316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九月初九</w:t>
            </w:r>
          </w:p>
        </w:tc>
        <w:tc>
          <w:tcPr>
            <w:tcW w:w="6226" w:type="dxa"/>
            <w:vAlign w:val="center"/>
          </w:tcPr>
          <w:p w14:paraId="464462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中国老年节</w:t>
            </w:r>
          </w:p>
        </w:tc>
      </w:tr>
      <w:tr w14:paraId="6D38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A8127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21A45B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10月8日</w:t>
            </w:r>
          </w:p>
        </w:tc>
        <w:tc>
          <w:tcPr>
            <w:tcW w:w="6226" w:type="dxa"/>
            <w:vAlign w:val="center"/>
          </w:tcPr>
          <w:p w14:paraId="143207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全国高血压日</w:t>
            </w:r>
          </w:p>
        </w:tc>
      </w:tr>
      <w:tr w14:paraId="2D70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BFFA3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5D0BB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10月10日</w:t>
            </w:r>
          </w:p>
        </w:tc>
        <w:tc>
          <w:tcPr>
            <w:tcW w:w="6226" w:type="dxa"/>
            <w:vAlign w:val="center"/>
          </w:tcPr>
          <w:p w14:paraId="319F90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世界精神卫生日</w:t>
            </w:r>
          </w:p>
        </w:tc>
      </w:tr>
      <w:tr w14:paraId="04B8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2E64F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42A370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10月12日</w:t>
            </w:r>
          </w:p>
        </w:tc>
        <w:tc>
          <w:tcPr>
            <w:tcW w:w="6226" w:type="dxa"/>
            <w:vAlign w:val="center"/>
          </w:tcPr>
          <w:p w14:paraId="4E4491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世界关节炎日</w:t>
            </w:r>
          </w:p>
        </w:tc>
      </w:tr>
      <w:tr w14:paraId="222E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37198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269F7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10月13日</w:t>
            </w:r>
          </w:p>
        </w:tc>
        <w:tc>
          <w:tcPr>
            <w:tcW w:w="6226" w:type="dxa"/>
            <w:vAlign w:val="center"/>
          </w:tcPr>
          <w:p w14:paraId="7329FF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世界保健日</w:t>
            </w:r>
          </w:p>
        </w:tc>
      </w:tr>
      <w:tr w14:paraId="0684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730368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23F6F2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第二周四</w:t>
            </w:r>
          </w:p>
        </w:tc>
        <w:tc>
          <w:tcPr>
            <w:tcW w:w="6226" w:type="dxa"/>
            <w:vAlign w:val="center"/>
          </w:tcPr>
          <w:p w14:paraId="5479B6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世界视觉日</w:t>
            </w:r>
          </w:p>
        </w:tc>
      </w:tr>
      <w:tr w14:paraId="58D5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30622E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403403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第三周一</w:t>
            </w:r>
          </w:p>
        </w:tc>
        <w:tc>
          <w:tcPr>
            <w:tcW w:w="6226" w:type="dxa"/>
            <w:vAlign w:val="center"/>
          </w:tcPr>
          <w:p w14:paraId="32CA32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世界镇痛日</w:t>
            </w:r>
          </w:p>
        </w:tc>
      </w:tr>
      <w:tr w14:paraId="7C1C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7E1BCD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F2DA3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10月15日</w:t>
            </w:r>
          </w:p>
        </w:tc>
        <w:tc>
          <w:tcPr>
            <w:tcW w:w="6226" w:type="dxa"/>
            <w:vAlign w:val="center"/>
          </w:tcPr>
          <w:p w14:paraId="754BA0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全球洗手日、</w:t>
            </w:r>
            <w:r>
              <w:rPr>
                <w:rFonts w:hint="eastAsia" w:ascii="微软雅黑" w:hAnsi="微软雅黑" w:eastAsia="微软雅黑" w:cs="微软雅黑"/>
                <w:b w:val="0"/>
                <w:bCs w:val="0"/>
                <w:sz w:val="24"/>
                <w:szCs w:val="24"/>
                <w:vertAlign w:val="baseline"/>
                <w:lang w:eastAsia="zh-CN"/>
              </w:rPr>
              <w:t>国际盲人节</w:t>
            </w:r>
          </w:p>
        </w:tc>
      </w:tr>
      <w:tr w14:paraId="55E6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51C6B4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0CE05D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10月20日</w:t>
            </w:r>
          </w:p>
        </w:tc>
        <w:tc>
          <w:tcPr>
            <w:tcW w:w="6226" w:type="dxa"/>
            <w:vAlign w:val="center"/>
          </w:tcPr>
          <w:p w14:paraId="4D29D9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世界骨质疏松日</w:t>
            </w:r>
          </w:p>
        </w:tc>
      </w:tr>
      <w:tr w14:paraId="0B48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E17E6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31E673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10月22日</w:t>
            </w:r>
          </w:p>
        </w:tc>
        <w:tc>
          <w:tcPr>
            <w:tcW w:w="6226" w:type="dxa"/>
            <w:vAlign w:val="center"/>
          </w:tcPr>
          <w:p w14:paraId="04C8A5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世界传统医药日</w:t>
            </w:r>
          </w:p>
        </w:tc>
      </w:tr>
      <w:tr w14:paraId="5220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3BD66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4AD3E4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10月28日</w:t>
            </w:r>
          </w:p>
        </w:tc>
        <w:tc>
          <w:tcPr>
            <w:tcW w:w="6226" w:type="dxa"/>
            <w:vAlign w:val="center"/>
          </w:tcPr>
          <w:p w14:paraId="302BA5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男性健康日</w:t>
            </w:r>
          </w:p>
        </w:tc>
      </w:tr>
      <w:tr w14:paraId="7181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62C3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4A658F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10月29日</w:t>
            </w:r>
          </w:p>
        </w:tc>
        <w:tc>
          <w:tcPr>
            <w:tcW w:w="6226" w:type="dxa"/>
            <w:vAlign w:val="center"/>
          </w:tcPr>
          <w:p w14:paraId="45983D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世界卒中日</w:t>
            </w:r>
          </w:p>
        </w:tc>
      </w:tr>
      <w:tr w14:paraId="3F08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670D47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w:t>
            </w:r>
          </w:p>
        </w:tc>
        <w:tc>
          <w:tcPr>
            <w:tcW w:w="2064" w:type="dxa"/>
            <w:vAlign w:val="center"/>
          </w:tcPr>
          <w:p w14:paraId="68F1B7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11月14日</w:t>
            </w:r>
          </w:p>
        </w:tc>
        <w:tc>
          <w:tcPr>
            <w:tcW w:w="6226" w:type="dxa"/>
            <w:vAlign w:val="center"/>
          </w:tcPr>
          <w:p w14:paraId="11A657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联合国糖尿病日</w:t>
            </w:r>
          </w:p>
        </w:tc>
      </w:tr>
      <w:tr w14:paraId="326C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4B4CC2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6F8A32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11月19日</w:t>
            </w:r>
          </w:p>
        </w:tc>
        <w:tc>
          <w:tcPr>
            <w:tcW w:w="6226" w:type="dxa"/>
            <w:vAlign w:val="center"/>
          </w:tcPr>
          <w:p w14:paraId="4860D5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世界厕所日</w:t>
            </w:r>
          </w:p>
        </w:tc>
      </w:tr>
      <w:tr w14:paraId="5C06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267833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47313B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11月20日</w:t>
            </w:r>
          </w:p>
        </w:tc>
        <w:tc>
          <w:tcPr>
            <w:tcW w:w="6226" w:type="dxa"/>
            <w:vAlign w:val="center"/>
          </w:tcPr>
          <w:p w14:paraId="0C2449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心梗救治日</w:t>
            </w:r>
          </w:p>
        </w:tc>
      </w:tr>
      <w:tr w14:paraId="39DF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179CF4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5FE0D3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11月25日</w:t>
            </w:r>
          </w:p>
        </w:tc>
        <w:tc>
          <w:tcPr>
            <w:tcW w:w="6226" w:type="dxa"/>
            <w:vAlign w:val="center"/>
          </w:tcPr>
          <w:p w14:paraId="276509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国际消除对妇女暴力日</w:t>
            </w:r>
          </w:p>
        </w:tc>
      </w:tr>
      <w:tr w14:paraId="5FD8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7E0483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21EA9F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第三周三</w:t>
            </w:r>
          </w:p>
        </w:tc>
        <w:tc>
          <w:tcPr>
            <w:tcW w:w="6226" w:type="dxa"/>
            <w:vAlign w:val="center"/>
          </w:tcPr>
          <w:p w14:paraId="34DE37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世界慢阻肺日</w:t>
            </w:r>
          </w:p>
        </w:tc>
      </w:tr>
      <w:tr w14:paraId="4B3B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14:paraId="5CF71E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yellow"/>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12月</w:t>
            </w:r>
          </w:p>
        </w:tc>
        <w:tc>
          <w:tcPr>
            <w:tcW w:w="2064" w:type="dxa"/>
            <w:vAlign w:val="center"/>
          </w:tcPr>
          <w:p w14:paraId="0DB337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12月1日</w:t>
            </w:r>
          </w:p>
        </w:tc>
        <w:tc>
          <w:tcPr>
            <w:tcW w:w="6226" w:type="dxa"/>
            <w:vAlign w:val="center"/>
          </w:tcPr>
          <w:p w14:paraId="1F57EF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世界艾滋病日</w:t>
            </w:r>
          </w:p>
        </w:tc>
      </w:tr>
      <w:tr w14:paraId="6BD8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7347EB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064" w:type="dxa"/>
            <w:vAlign w:val="center"/>
          </w:tcPr>
          <w:p w14:paraId="56F74B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12月3日</w:t>
            </w:r>
          </w:p>
        </w:tc>
        <w:tc>
          <w:tcPr>
            <w:tcW w:w="6226" w:type="dxa"/>
            <w:vAlign w:val="center"/>
          </w:tcPr>
          <w:p w14:paraId="049D82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国际残疾人日</w:t>
            </w:r>
          </w:p>
        </w:tc>
      </w:tr>
      <w:tr w14:paraId="2A1F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14:paraId="0E97A8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14:paraId="7B6BB1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12月15日</w:t>
            </w:r>
          </w:p>
        </w:tc>
        <w:tc>
          <w:tcPr>
            <w:tcW w:w="6226" w:type="dxa"/>
            <w:vAlign w:val="center"/>
          </w:tcPr>
          <w:p w14:paraId="13CFD4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eastAsia="zh-CN"/>
              </w:rPr>
            </w:pPr>
            <w:r>
              <w:rPr>
                <w:rFonts w:hint="eastAsia" w:ascii="微软雅黑" w:hAnsi="微软雅黑" w:eastAsia="微软雅黑" w:cs="微软雅黑"/>
                <w:b w:val="0"/>
                <w:bCs w:val="0"/>
                <w:sz w:val="24"/>
                <w:szCs w:val="24"/>
                <w:vertAlign w:val="baseline"/>
                <w:lang w:eastAsia="zh-CN"/>
              </w:rPr>
              <w:t>世界强化免疫日</w:t>
            </w:r>
          </w:p>
        </w:tc>
      </w:tr>
    </w:tbl>
    <w:p w14:paraId="73910C3C">
      <w:pPr>
        <w:jc w:val="both"/>
        <w:rPr>
          <w:rFonts w:hint="eastAsia" w:asciiTheme="majorEastAsia" w:hAnsiTheme="majorEastAsia" w:eastAsiaTheme="majorEastAsia" w:cstheme="majorEastAsia"/>
          <w:b/>
          <w:bCs/>
          <w:sz w:val="44"/>
          <w:szCs w:val="44"/>
          <w:lang w:eastAsia="zh-CN"/>
        </w:rPr>
      </w:pPr>
    </w:p>
    <w:p w14:paraId="79E7A191"/>
    <w:p w14:paraId="35B840E9">
      <w:pPr>
        <w:jc w:val="both"/>
        <w:rPr>
          <w:rFonts w:hint="eastAsia" w:ascii="宋体" w:hAnsi="宋体" w:eastAsia="宋体" w:cs="宋体"/>
          <w:b/>
          <w:bCs/>
          <w:sz w:val="32"/>
          <w:szCs w:val="32"/>
          <w:lang w:val="en-US" w:eastAsia="zh-CN"/>
        </w:rPr>
      </w:pPr>
      <w:r>
        <w:rPr>
          <w:rFonts w:hint="eastAsia" w:ascii="黑体" w:hAnsi="黑体" w:eastAsia="黑体" w:cs="黑体"/>
          <w:b/>
          <w:bCs/>
          <w:sz w:val="28"/>
          <w:szCs w:val="28"/>
          <w:lang w:val="en-US" w:eastAsia="zh-CN"/>
        </w:rPr>
        <w:t xml:space="preserve">附件2                        </w:t>
      </w:r>
      <w:r>
        <w:rPr>
          <w:rFonts w:hint="eastAsia" w:ascii="宋体" w:hAnsi="宋体" w:eastAsia="宋体" w:cs="宋体"/>
          <w:b/>
          <w:bCs/>
          <w:sz w:val="32"/>
          <w:szCs w:val="32"/>
          <w:lang w:val="en-US" w:eastAsia="zh-CN"/>
        </w:rPr>
        <w:t>作品信息表</w:t>
      </w:r>
    </w:p>
    <w:tbl>
      <w:tblPr>
        <w:tblStyle w:val="6"/>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296"/>
        <w:gridCol w:w="1276"/>
        <w:gridCol w:w="714"/>
        <w:gridCol w:w="420"/>
        <w:gridCol w:w="338"/>
        <w:gridCol w:w="1930"/>
      </w:tblGrid>
      <w:tr w14:paraId="38FD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73" w:type="dxa"/>
            <w:shd w:val="clear" w:color="auto" w:fill="auto"/>
            <w:noWrap/>
            <w:vAlign w:val="center"/>
          </w:tcPr>
          <w:p w14:paraId="146226DB">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作品名称</w:t>
            </w:r>
          </w:p>
        </w:tc>
        <w:tc>
          <w:tcPr>
            <w:tcW w:w="6974" w:type="dxa"/>
            <w:gridSpan w:val="6"/>
            <w:shd w:val="clear" w:color="auto" w:fill="auto"/>
            <w:noWrap/>
            <w:vAlign w:val="center"/>
          </w:tcPr>
          <w:p w14:paraId="62E0750C">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tc>
      </w:tr>
      <w:tr w14:paraId="4C39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73" w:type="dxa"/>
            <w:shd w:val="clear" w:color="auto" w:fill="auto"/>
            <w:noWrap/>
            <w:vAlign w:val="center"/>
          </w:tcPr>
          <w:p w14:paraId="4DC49638">
            <w:pPr>
              <w:widowControl/>
              <w:ind w:firstLine="120" w:firstLineChars="50"/>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作品类别</w:t>
            </w:r>
          </w:p>
        </w:tc>
        <w:tc>
          <w:tcPr>
            <w:tcW w:w="6974" w:type="dxa"/>
            <w:gridSpan w:val="6"/>
            <w:shd w:val="clear" w:color="auto" w:fill="auto"/>
            <w:noWrap/>
            <w:vAlign w:val="center"/>
          </w:tcPr>
          <w:p w14:paraId="7DAB4F8E">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注：</w:t>
            </w:r>
            <w:r>
              <w:rPr>
                <w:rFonts w:hint="eastAsia" w:ascii="微软雅黑" w:hAnsi="微软雅黑" w:eastAsia="微软雅黑"/>
                <w:color w:val="000000"/>
                <w:sz w:val="24"/>
                <w:szCs w:val="24"/>
              </w:rPr>
              <w:t>视频/音频/图片/文字</w:t>
            </w:r>
          </w:p>
        </w:tc>
      </w:tr>
      <w:tr w14:paraId="0864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73" w:type="dxa"/>
            <w:shd w:val="clear" w:color="auto" w:fill="auto"/>
            <w:noWrap/>
            <w:vAlign w:val="center"/>
          </w:tcPr>
          <w:p w14:paraId="579270B1">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姓名</w:t>
            </w:r>
          </w:p>
        </w:tc>
        <w:tc>
          <w:tcPr>
            <w:tcW w:w="2296" w:type="dxa"/>
            <w:shd w:val="clear" w:color="auto" w:fill="auto"/>
            <w:noWrap/>
            <w:vAlign w:val="center"/>
          </w:tcPr>
          <w:p w14:paraId="18391EF0">
            <w:pPr>
              <w:widowControl/>
              <w:spacing w:line="320" w:lineRule="exact"/>
              <w:jc w:val="center"/>
              <w:rPr>
                <w:rFonts w:ascii="微软雅黑" w:hAnsi="微软雅黑" w:eastAsia="微软雅黑" w:cs="宋体"/>
                <w:color w:val="000000"/>
                <w:kern w:val="0"/>
                <w:sz w:val="24"/>
                <w:szCs w:val="24"/>
              </w:rPr>
            </w:pPr>
          </w:p>
        </w:tc>
        <w:tc>
          <w:tcPr>
            <w:tcW w:w="1276" w:type="dxa"/>
            <w:shd w:val="clear" w:color="auto" w:fill="auto"/>
            <w:noWrap/>
            <w:vAlign w:val="center"/>
          </w:tcPr>
          <w:p w14:paraId="1BE37828">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性别</w:t>
            </w:r>
          </w:p>
        </w:tc>
        <w:tc>
          <w:tcPr>
            <w:tcW w:w="714" w:type="dxa"/>
            <w:shd w:val="clear" w:color="auto" w:fill="auto"/>
            <w:noWrap/>
            <w:vAlign w:val="center"/>
          </w:tcPr>
          <w:p w14:paraId="12D3A3AD">
            <w:pPr>
              <w:widowControl/>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tc>
        <w:tc>
          <w:tcPr>
            <w:tcW w:w="758" w:type="dxa"/>
            <w:gridSpan w:val="2"/>
            <w:shd w:val="clear" w:color="auto" w:fill="auto"/>
            <w:noWrap/>
            <w:vAlign w:val="center"/>
          </w:tcPr>
          <w:p w14:paraId="5D98002C">
            <w:pPr>
              <w:widowControl/>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职称</w:t>
            </w:r>
          </w:p>
        </w:tc>
        <w:tc>
          <w:tcPr>
            <w:tcW w:w="1930" w:type="dxa"/>
            <w:shd w:val="clear" w:color="auto" w:fill="auto"/>
            <w:noWrap/>
            <w:vAlign w:val="center"/>
          </w:tcPr>
          <w:p w14:paraId="3D7287E1">
            <w:pPr>
              <w:widowControl/>
              <w:jc w:val="left"/>
              <w:rPr>
                <w:rFonts w:hint="eastAsia" w:ascii="微软雅黑" w:hAnsi="微软雅黑" w:eastAsia="微软雅黑" w:cs="宋体"/>
                <w:color w:val="000000"/>
                <w:kern w:val="0"/>
                <w:sz w:val="24"/>
                <w:szCs w:val="24"/>
              </w:rPr>
            </w:pPr>
          </w:p>
        </w:tc>
      </w:tr>
      <w:tr w14:paraId="1CDB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73" w:type="dxa"/>
            <w:shd w:val="clear" w:color="auto" w:fill="auto"/>
            <w:noWrap/>
            <w:vAlign w:val="center"/>
          </w:tcPr>
          <w:p w14:paraId="3791784E">
            <w:pPr>
              <w:widowControl/>
              <w:jc w:val="center"/>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所在科室</w:t>
            </w:r>
          </w:p>
        </w:tc>
        <w:tc>
          <w:tcPr>
            <w:tcW w:w="2296" w:type="dxa"/>
            <w:shd w:val="clear" w:color="auto" w:fill="auto"/>
            <w:noWrap/>
            <w:vAlign w:val="center"/>
          </w:tcPr>
          <w:p w14:paraId="28598298">
            <w:pPr>
              <w:widowControl/>
              <w:jc w:val="lef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lang w:val="en-US" w:eastAsia="zh-CN"/>
              </w:rPr>
              <w:t>加盖科室印章）</w:t>
            </w:r>
          </w:p>
        </w:tc>
        <w:tc>
          <w:tcPr>
            <w:tcW w:w="1276" w:type="dxa"/>
            <w:shd w:val="clear" w:color="auto" w:fill="auto"/>
            <w:noWrap/>
            <w:vAlign w:val="center"/>
          </w:tcPr>
          <w:p w14:paraId="22B422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rPr>
              <w:t>科室</w:t>
            </w:r>
            <w:r>
              <w:rPr>
                <w:rFonts w:hint="eastAsia" w:ascii="微软雅黑" w:hAnsi="微软雅黑" w:eastAsia="微软雅黑" w:cs="宋体"/>
                <w:color w:val="000000"/>
                <w:kern w:val="0"/>
                <w:sz w:val="24"/>
                <w:szCs w:val="24"/>
                <w:lang w:val="en-US" w:eastAsia="zh-CN"/>
              </w:rPr>
              <w:t>负责人签字</w:t>
            </w:r>
          </w:p>
        </w:tc>
        <w:tc>
          <w:tcPr>
            <w:tcW w:w="3402" w:type="dxa"/>
            <w:gridSpan w:val="4"/>
            <w:shd w:val="clear" w:color="auto" w:fill="auto"/>
            <w:noWrap/>
            <w:vAlign w:val="center"/>
          </w:tcPr>
          <w:p w14:paraId="72943596">
            <w:pPr>
              <w:widowControl/>
              <w:jc w:val="lef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lang w:val="en-US" w:eastAsia="zh-CN"/>
              </w:rPr>
              <w:t>此签字代表对作品已审核）</w:t>
            </w:r>
          </w:p>
        </w:tc>
      </w:tr>
      <w:tr w14:paraId="0C38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73" w:type="dxa"/>
            <w:shd w:val="clear" w:color="auto" w:fill="auto"/>
            <w:noWrap/>
            <w:vAlign w:val="center"/>
          </w:tcPr>
          <w:p w14:paraId="2D6641BF">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单位</w:t>
            </w:r>
          </w:p>
        </w:tc>
        <w:tc>
          <w:tcPr>
            <w:tcW w:w="6974" w:type="dxa"/>
            <w:gridSpan w:val="6"/>
            <w:shd w:val="clear" w:color="auto" w:fill="auto"/>
            <w:noWrap/>
            <w:vAlign w:val="center"/>
          </w:tcPr>
          <w:p w14:paraId="781EBC83">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tc>
      </w:tr>
      <w:tr w14:paraId="0C9F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73" w:type="dxa"/>
            <w:shd w:val="clear" w:color="auto" w:fill="auto"/>
            <w:noWrap/>
            <w:vAlign w:val="center"/>
          </w:tcPr>
          <w:p w14:paraId="16DC2D3B">
            <w:pPr>
              <w:widowControl/>
              <w:jc w:val="center"/>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rPr>
              <w:t>联系</w:t>
            </w:r>
            <w:r>
              <w:rPr>
                <w:rFonts w:hint="eastAsia" w:ascii="微软雅黑" w:hAnsi="微软雅黑" w:eastAsia="微软雅黑" w:cs="宋体"/>
                <w:color w:val="000000"/>
                <w:kern w:val="0"/>
                <w:sz w:val="24"/>
                <w:szCs w:val="24"/>
                <w:lang w:val="en-US" w:eastAsia="zh-CN"/>
              </w:rPr>
              <w:t>人及电话</w:t>
            </w:r>
          </w:p>
        </w:tc>
        <w:tc>
          <w:tcPr>
            <w:tcW w:w="3572" w:type="dxa"/>
            <w:gridSpan w:val="2"/>
            <w:shd w:val="clear" w:color="auto" w:fill="auto"/>
            <w:noWrap/>
            <w:vAlign w:val="center"/>
          </w:tcPr>
          <w:p w14:paraId="133AE86D">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tc>
        <w:tc>
          <w:tcPr>
            <w:tcW w:w="1134" w:type="dxa"/>
            <w:gridSpan w:val="2"/>
            <w:shd w:val="clear" w:color="auto" w:fill="auto"/>
            <w:noWrap/>
            <w:vAlign w:val="center"/>
          </w:tcPr>
          <w:p w14:paraId="4AD695CF">
            <w:pPr>
              <w:widowControl/>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邮箱</w:t>
            </w:r>
          </w:p>
        </w:tc>
        <w:tc>
          <w:tcPr>
            <w:tcW w:w="2268" w:type="dxa"/>
            <w:gridSpan w:val="2"/>
            <w:shd w:val="clear" w:color="auto" w:fill="auto"/>
            <w:noWrap/>
            <w:vAlign w:val="center"/>
          </w:tcPr>
          <w:p w14:paraId="607718A2">
            <w:pPr>
              <w:widowControl/>
              <w:jc w:val="left"/>
              <w:rPr>
                <w:rFonts w:hint="eastAsia" w:ascii="微软雅黑" w:hAnsi="微软雅黑" w:eastAsia="微软雅黑" w:cs="宋体"/>
                <w:color w:val="000000"/>
                <w:kern w:val="0"/>
                <w:sz w:val="24"/>
                <w:szCs w:val="24"/>
              </w:rPr>
            </w:pPr>
          </w:p>
        </w:tc>
      </w:tr>
    </w:tbl>
    <w:p w14:paraId="74014651">
      <w:pPr>
        <w:rPr>
          <w:sz w:val="28"/>
          <w:szCs w:val="28"/>
        </w:rPr>
      </w:pPr>
    </w:p>
    <w:p w14:paraId="36AFDA5F">
      <w:pPr>
        <w:rPr>
          <w:sz w:val="28"/>
          <w:szCs w:val="28"/>
        </w:rPr>
      </w:pPr>
    </w:p>
    <w:p w14:paraId="3077CB2A">
      <w:pPr>
        <w:adjustRightInd w:val="0"/>
        <w:snapToGrid w:val="0"/>
        <w:spacing w:line="360" w:lineRule="auto"/>
        <w:jc w:val="left"/>
        <w:rPr>
          <w:rFonts w:ascii="仿宋" w:hAnsi="仿宋" w:eastAsia="仿宋"/>
          <w:color w:val="000000"/>
          <w:sz w:val="32"/>
          <w:szCs w:val="32"/>
        </w:rPr>
      </w:pPr>
    </w:p>
    <w:p w14:paraId="14F2C8B1">
      <w:pPr>
        <w:adjustRightInd w:val="0"/>
        <w:snapToGrid w:val="0"/>
        <w:spacing w:line="360" w:lineRule="auto"/>
        <w:jc w:val="left"/>
        <w:rPr>
          <w:rFonts w:hint="eastAsia" w:ascii="仿宋" w:hAnsi="仿宋" w:eastAsia="仿宋"/>
          <w:color w:val="000000"/>
          <w:sz w:val="32"/>
          <w:szCs w:val="32"/>
        </w:rPr>
      </w:pPr>
    </w:p>
    <w:p w14:paraId="14B05DA2">
      <w:pPr>
        <w:rPr>
          <w:rFonts w:hint="eastAsia" w:ascii="仿宋_GB2312" w:hAnsi="宋体" w:eastAsia="仿宋_GB2312"/>
          <w:sz w:val="30"/>
          <w:szCs w:val="32"/>
        </w:rPr>
      </w:pPr>
    </w:p>
    <w:p w14:paraId="40ADBB41">
      <w:pPr>
        <w:rPr>
          <w:rFonts w:hint="eastAsia" w:ascii="仿宋_GB2312" w:hAnsi="宋体" w:eastAsia="仿宋_GB2312"/>
          <w:sz w:val="30"/>
          <w:szCs w:val="32"/>
        </w:rPr>
      </w:pPr>
    </w:p>
    <w:p w14:paraId="61B54E92">
      <w:pPr>
        <w:rPr>
          <w:rFonts w:hint="eastAsia" w:ascii="仿宋_GB2312" w:hAnsi="宋体" w:eastAsia="仿宋_GB2312"/>
          <w:sz w:val="30"/>
          <w:szCs w:val="32"/>
        </w:rPr>
      </w:pPr>
    </w:p>
    <w:p w14:paraId="079BC9C4">
      <w:pPr>
        <w:ind w:firstLine="640" w:firstLineChars="200"/>
        <w:rPr>
          <w:rFonts w:ascii="仿宋_GB2312" w:eastAsia="仿宋_GB2312"/>
          <w:sz w:val="32"/>
          <w:szCs w:val="32"/>
        </w:rPr>
      </w:pPr>
    </w:p>
    <w:p w14:paraId="3BEF1263">
      <w:pPr>
        <w:ind w:firstLine="640" w:firstLineChars="200"/>
        <w:rPr>
          <w:rFonts w:ascii="仿宋_GB2312" w:eastAsia="仿宋_GB2312"/>
          <w:sz w:val="32"/>
          <w:szCs w:val="32"/>
        </w:rPr>
      </w:pPr>
    </w:p>
    <w:p w14:paraId="4175EFEB">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14:paraId="5F3038EC">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14:paraId="54C4E34B">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14:paraId="75C5C000">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14:paraId="653662DF">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14:paraId="53DFF4BE">
      <w:pPr>
        <w:spacing w:line="400" w:lineRule="exact"/>
        <w:ind w:firstLine="138" w:firstLineChars="49"/>
        <w:jc w:val="both"/>
        <w:rPr>
          <w:rFonts w:hint="eastAsia"/>
          <w:b/>
          <w:sz w:val="36"/>
          <w:szCs w:val="36"/>
        </w:rPr>
      </w:pPr>
      <w:r>
        <w:rPr>
          <w:rFonts w:hint="eastAsia" w:ascii="黑体" w:hAnsi="黑体" w:eastAsia="黑体" w:cs="黑体"/>
          <w:b/>
          <w:bCs/>
          <w:sz w:val="28"/>
          <w:szCs w:val="28"/>
          <w:lang w:val="en-US" w:eastAsia="zh-CN"/>
        </w:rPr>
        <w:t xml:space="preserve">附件3 </w:t>
      </w:r>
      <w:r>
        <w:rPr>
          <w:rFonts w:hint="eastAsia" w:ascii="方正公文黑体" w:hAnsi="方正公文黑体" w:eastAsia="方正公文黑体" w:cs="方正公文黑体"/>
          <w:b/>
          <w:sz w:val="36"/>
          <w:szCs w:val="36"/>
          <w:lang w:val="en-US" w:eastAsia="zh-CN"/>
        </w:rPr>
        <w:t xml:space="preserve"> </w:t>
      </w:r>
      <w:r>
        <w:rPr>
          <w:rFonts w:hint="eastAsia"/>
          <w:b/>
          <w:sz w:val="36"/>
          <w:szCs w:val="36"/>
          <w:lang w:val="en-US" w:eastAsia="zh-CN"/>
        </w:rPr>
        <w:t xml:space="preserve">             </w:t>
      </w:r>
      <w:r>
        <w:rPr>
          <w:rFonts w:hint="eastAsia"/>
          <w:b/>
          <w:sz w:val="32"/>
          <w:szCs w:val="32"/>
          <w:lang w:val="en-US" w:eastAsia="zh-CN"/>
        </w:rPr>
        <w:t>作品</w:t>
      </w:r>
      <w:r>
        <w:rPr>
          <w:rFonts w:hint="eastAsia"/>
          <w:b/>
          <w:sz w:val="32"/>
          <w:szCs w:val="32"/>
        </w:rPr>
        <w:t>使用授权书</w:t>
      </w:r>
    </w:p>
    <w:p w14:paraId="4F973972">
      <w:pPr>
        <w:spacing w:line="300" w:lineRule="exact"/>
        <w:rPr>
          <w:rFonts w:hint="eastAsia"/>
          <w:b/>
          <w:szCs w:val="21"/>
        </w:rPr>
      </w:pPr>
    </w:p>
    <w:p w14:paraId="7266A2CF">
      <w:pPr>
        <w:snapToGrid w:val="0"/>
        <w:spacing w:line="400" w:lineRule="exact"/>
        <w:ind w:firstLine="9" w:firstLineChars="4"/>
        <w:rPr>
          <w:rFonts w:hint="eastAsia" w:ascii="微软雅黑" w:hAnsi="微软雅黑" w:eastAsia="微软雅黑" w:cs="微软雅黑"/>
          <w:sz w:val="24"/>
          <w:szCs w:val="21"/>
        </w:rPr>
      </w:pPr>
      <w:r>
        <w:rPr>
          <w:rFonts w:hint="eastAsia" w:ascii="微软雅黑" w:hAnsi="微软雅黑" w:eastAsia="微软雅黑" w:cs="微软雅黑"/>
          <w:sz w:val="24"/>
          <w:szCs w:val="21"/>
          <w:lang w:val="en-US" w:eastAsia="zh-CN"/>
        </w:rPr>
        <w:t>河南省药学会科普专栏工作组</w:t>
      </w:r>
      <w:r>
        <w:rPr>
          <w:rFonts w:hint="eastAsia" w:ascii="微软雅黑" w:hAnsi="微软雅黑" w:eastAsia="微软雅黑" w:cs="微软雅黑"/>
          <w:sz w:val="24"/>
          <w:szCs w:val="21"/>
        </w:rPr>
        <w:t>：</w:t>
      </w:r>
    </w:p>
    <w:p w14:paraId="3D03BAD9">
      <w:pPr>
        <w:snapToGrid w:val="0"/>
        <w:spacing w:line="300" w:lineRule="exact"/>
        <w:ind w:firstLine="9" w:firstLineChars="4"/>
        <w:rPr>
          <w:rFonts w:hint="eastAsia" w:ascii="微软雅黑" w:hAnsi="微软雅黑" w:eastAsia="微软雅黑" w:cs="微软雅黑"/>
          <w:sz w:val="24"/>
          <w:szCs w:val="21"/>
        </w:rPr>
      </w:pPr>
    </w:p>
    <w:p w14:paraId="46B5912E">
      <w:pPr>
        <w:snapToGrid w:val="0"/>
        <w:spacing w:line="480" w:lineRule="exact"/>
        <w:ind w:firstLine="129" w:firstLineChars="54"/>
        <w:rPr>
          <w:rFonts w:hint="eastAsia" w:ascii="微软雅黑" w:hAnsi="微软雅黑" w:eastAsia="微软雅黑" w:cs="微软雅黑"/>
          <w:sz w:val="24"/>
          <w:szCs w:val="21"/>
        </w:rPr>
      </w:pPr>
      <w:r>
        <w:rPr>
          <w:rFonts w:hint="eastAsia" w:ascii="微软雅黑" w:hAnsi="微软雅黑" w:eastAsia="微软雅黑" w:cs="微软雅黑"/>
          <w:sz w:val="24"/>
          <w:szCs w:val="21"/>
          <w:lang w:val="en-US" w:eastAsia="zh-CN"/>
        </w:rPr>
        <w:t>科普作品</w:t>
      </w:r>
      <w:r>
        <w:rPr>
          <w:rFonts w:hint="eastAsia" w:ascii="微软雅黑" w:hAnsi="微软雅黑" w:eastAsia="微软雅黑" w:cs="微软雅黑"/>
          <w:sz w:val="24"/>
          <w:szCs w:val="21"/>
        </w:rPr>
        <w:t>题目“</w:t>
      </w:r>
      <w:r>
        <w:rPr>
          <w:rFonts w:hint="eastAsia" w:ascii="微软雅黑" w:hAnsi="微软雅黑" w:eastAsia="微软雅黑" w:cs="微软雅黑"/>
          <w:sz w:val="24"/>
          <w:szCs w:val="21"/>
          <w:u w:val="single"/>
        </w:rPr>
        <w:t xml:space="preserve">                                                        </w:t>
      </w:r>
      <w:r>
        <w:rPr>
          <w:rFonts w:hint="eastAsia" w:ascii="微软雅黑" w:hAnsi="微软雅黑" w:eastAsia="微软雅黑" w:cs="微软雅黑"/>
          <w:sz w:val="24"/>
          <w:szCs w:val="21"/>
        </w:rPr>
        <w:t>”</w:t>
      </w:r>
    </w:p>
    <w:p w14:paraId="6E8422A8">
      <w:pPr>
        <w:snapToGrid w:val="0"/>
        <w:spacing w:line="480" w:lineRule="exact"/>
        <w:rPr>
          <w:rFonts w:hint="eastAsia" w:ascii="微软雅黑" w:hAnsi="微软雅黑" w:eastAsia="微软雅黑" w:cs="微软雅黑"/>
          <w:sz w:val="24"/>
          <w:szCs w:val="21"/>
          <w:u w:val="single"/>
        </w:rPr>
      </w:pPr>
      <w:r>
        <w:rPr>
          <w:rFonts w:hint="eastAsia" w:ascii="微软雅黑" w:hAnsi="微软雅黑" w:eastAsia="微软雅黑" w:cs="微软雅黑"/>
          <w:sz w:val="24"/>
          <w:szCs w:val="21"/>
        </w:rPr>
        <w:t>全体作者署名：</w:t>
      </w:r>
      <w:r>
        <w:rPr>
          <w:rFonts w:hint="eastAsia" w:ascii="微软雅黑" w:hAnsi="微软雅黑" w:eastAsia="微软雅黑" w:cs="微软雅黑"/>
          <w:sz w:val="24"/>
          <w:szCs w:val="21"/>
          <w:u w:val="single"/>
        </w:rPr>
        <w:t xml:space="preserve">                                                     </w:t>
      </w:r>
    </w:p>
    <w:p w14:paraId="755FF361">
      <w:pPr>
        <w:snapToGrid w:val="0"/>
        <w:spacing w:line="480" w:lineRule="exact"/>
        <w:rPr>
          <w:rFonts w:hint="eastAsia" w:ascii="微软雅黑" w:hAnsi="微软雅黑" w:eastAsia="微软雅黑" w:cs="微软雅黑"/>
          <w:szCs w:val="21"/>
          <w:u w:val="single"/>
        </w:rPr>
      </w:pPr>
      <w:r>
        <w:rPr>
          <w:rFonts w:hint="eastAsia" w:ascii="微软雅黑" w:hAnsi="微软雅黑" w:eastAsia="微软雅黑" w:cs="微软雅黑"/>
          <w:sz w:val="24"/>
          <w:szCs w:val="21"/>
          <w:u w:val="single"/>
        </w:rPr>
        <w:t xml:space="preserve">                                                                   </w:t>
      </w:r>
    </w:p>
    <w:p w14:paraId="7D5A3866">
      <w:pPr>
        <w:snapToGrid w:val="0"/>
        <w:spacing w:line="400" w:lineRule="exact"/>
        <w:rPr>
          <w:rFonts w:hint="eastAsia" w:ascii="微软雅黑" w:hAnsi="微软雅黑" w:eastAsia="微软雅黑" w:cs="微软雅黑"/>
          <w:sz w:val="24"/>
          <w:szCs w:val="21"/>
        </w:rPr>
      </w:pPr>
    </w:p>
    <w:p w14:paraId="3E395628">
      <w:pPr>
        <w:snapToGrid w:val="0"/>
        <w:spacing w:line="400" w:lineRule="exact"/>
        <w:ind w:firstLine="480" w:firstLineChars="200"/>
        <w:rPr>
          <w:rFonts w:hint="eastAsia" w:ascii="微软雅黑" w:hAnsi="微软雅黑" w:eastAsia="微软雅黑" w:cs="微软雅黑"/>
          <w:sz w:val="24"/>
          <w:szCs w:val="21"/>
        </w:rPr>
      </w:pPr>
      <w:r>
        <w:rPr>
          <w:rFonts w:hint="eastAsia" w:ascii="微软雅黑" w:hAnsi="微软雅黑" w:eastAsia="微软雅黑" w:cs="微软雅黑"/>
          <w:sz w:val="24"/>
          <w:szCs w:val="21"/>
        </w:rPr>
        <w:t>遵照《中华人民共和国著作权法》，自本授权书签署之日起，作者同意将上列</w:t>
      </w:r>
      <w:r>
        <w:rPr>
          <w:rFonts w:hint="eastAsia" w:ascii="微软雅黑" w:hAnsi="微软雅黑" w:eastAsia="微软雅黑" w:cs="微软雅黑"/>
          <w:sz w:val="24"/>
          <w:szCs w:val="21"/>
          <w:lang w:val="en-US" w:eastAsia="zh-CN"/>
        </w:rPr>
        <w:t>作品</w:t>
      </w:r>
      <w:r>
        <w:rPr>
          <w:rFonts w:hint="eastAsia" w:ascii="微软雅黑" w:hAnsi="微软雅黑" w:eastAsia="微软雅黑" w:cs="微软雅黑"/>
          <w:sz w:val="24"/>
          <w:szCs w:val="21"/>
        </w:rPr>
        <w:t>的著作权（含各种介质、媒体的著作权）的专有许可使用权和独家代理权，授予</w:t>
      </w:r>
      <w:r>
        <w:rPr>
          <w:rFonts w:hint="eastAsia" w:ascii="微软雅黑" w:hAnsi="微软雅黑" w:eastAsia="微软雅黑" w:cs="微软雅黑"/>
          <w:sz w:val="24"/>
          <w:szCs w:val="21"/>
          <w:lang w:val="en-US" w:eastAsia="zh-CN"/>
        </w:rPr>
        <w:t>河南省药学会科普专栏</w:t>
      </w:r>
      <w:r>
        <w:rPr>
          <w:rFonts w:hint="eastAsia" w:ascii="微软雅黑" w:hAnsi="微软雅黑" w:eastAsia="微软雅黑" w:cs="微软雅黑"/>
          <w:sz w:val="24"/>
          <w:szCs w:val="21"/>
        </w:rPr>
        <w:t>。</w:t>
      </w:r>
      <w:r>
        <w:rPr>
          <w:rFonts w:hint="eastAsia" w:ascii="微软雅黑" w:hAnsi="微软雅黑" w:eastAsia="微软雅黑" w:cs="微软雅黑"/>
          <w:sz w:val="24"/>
          <w:szCs w:val="21"/>
          <w:lang w:val="en-US" w:eastAsia="zh-CN"/>
        </w:rPr>
        <w:t>河南省药学会科普专栏</w:t>
      </w:r>
      <w:r>
        <w:rPr>
          <w:rFonts w:hint="eastAsia" w:ascii="微软雅黑" w:hAnsi="微软雅黑" w:eastAsia="微软雅黑" w:cs="微软雅黑"/>
          <w:sz w:val="24"/>
          <w:szCs w:val="21"/>
        </w:rPr>
        <w:t>对上列</w:t>
      </w:r>
      <w:r>
        <w:rPr>
          <w:rFonts w:hint="eastAsia" w:ascii="微软雅黑" w:hAnsi="微软雅黑" w:eastAsia="微软雅黑" w:cs="微软雅黑"/>
          <w:sz w:val="24"/>
          <w:szCs w:val="21"/>
          <w:lang w:val="en-US" w:eastAsia="zh-CN"/>
        </w:rPr>
        <w:t>作品</w:t>
      </w:r>
      <w:r>
        <w:rPr>
          <w:rFonts w:hint="eastAsia" w:ascii="微软雅黑" w:hAnsi="微软雅黑" w:eastAsia="微软雅黑" w:cs="微软雅黑"/>
          <w:sz w:val="24"/>
          <w:szCs w:val="21"/>
        </w:rPr>
        <w:t>具有以下专有使用权：印刷版和电子版的复制权、汇编权（文章的部分或全部）、翻译权、发行权、网络传播权及许可文献检索系统或数据库的收录权。作者享有除上述约定外著作权法规定的其他权利。</w:t>
      </w:r>
    </w:p>
    <w:p w14:paraId="74C33F3A">
      <w:pPr>
        <w:snapToGrid w:val="0"/>
        <w:spacing w:line="400" w:lineRule="exact"/>
        <w:ind w:firstLine="480" w:firstLineChars="200"/>
        <w:rPr>
          <w:rFonts w:hint="eastAsia" w:ascii="微软雅黑" w:hAnsi="微软雅黑" w:eastAsia="微软雅黑" w:cs="微软雅黑"/>
          <w:sz w:val="24"/>
          <w:szCs w:val="21"/>
        </w:rPr>
      </w:pPr>
      <w:r>
        <w:rPr>
          <w:rFonts w:hint="eastAsia" w:ascii="微软雅黑" w:hAnsi="微软雅黑" w:eastAsia="微软雅黑" w:cs="微软雅黑"/>
          <w:sz w:val="24"/>
        </w:rPr>
        <w:t>上述</w:t>
      </w:r>
      <w:r>
        <w:rPr>
          <w:rFonts w:hint="eastAsia" w:ascii="微软雅黑" w:hAnsi="微软雅黑" w:eastAsia="微软雅黑" w:cs="微软雅黑"/>
          <w:sz w:val="24"/>
          <w:lang w:val="en-US" w:eastAsia="zh-CN"/>
        </w:rPr>
        <w:t>作品</w:t>
      </w:r>
      <w:r>
        <w:rPr>
          <w:rFonts w:hint="eastAsia" w:ascii="微软雅黑" w:hAnsi="微软雅黑" w:eastAsia="微软雅黑" w:cs="微软雅黑"/>
          <w:sz w:val="24"/>
        </w:rPr>
        <w:t>的著作权人承诺：上述</w:t>
      </w:r>
      <w:r>
        <w:rPr>
          <w:rFonts w:hint="eastAsia" w:ascii="微软雅黑" w:hAnsi="微软雅黑" w:eastAsia="微软雅黑" w:cs="微软雅黑"/>
          <w:sz w:val="24"/>
          <w:lang w:val="en-US" w:eastAsia="zh-CN"/>
        </w:rPr>
        <w:t>作品</w:t>
      </w:r>
      <w:r>
        <w:rPr>
          <w:rFonts w:hint="eastAsia" w:ascii="微软雅黑" w:hAnsi="微软雅黑" w:eastAsia="微软雅黑" w:cs="微软雅黑"/>
          <w:sz w:val="24"/>
        </w:rPr>
        <w:t>是著作权人独立取得的原创性成果；</w:t>
      </w:r>
      <w:r>
        <w:rPr>
          <w:rFonts w:hint="eastAsia" w:ascii="微软雅黑" w:hAnsi="微软雅黑" w:eastAsia="微软雅黑" w:cs="微软雅黑"/>
          <w:sz w:val="24"/>
          <w:lang w:val="en-US" w:eastAsia="zh-CN"/>
        </w:rPr>
        <w:t>作品</w:t>
      </w:r>
      <w:r>
        <w:rPr>
          <w:rFonts w:hint="eastAsia" w:ascii="微软雅黑" w:hAnsi="微软雅黑" w:eastAsia="微软雅黑" w:cs="微软雅黑"/>
          <w:sz w:val="24"/>
        </w:rPr>
        <w:t>内容不涉及国家机密；未曾以任何形式用任何文种在国内、外公开发表过；内容不侵犯他人著作权和其他权利，否则著作权人将承担由于</w:t>
      </w:r>
      <w:r>
        <w:rPr>
          <w:rFonts w:hint="eastAsia" w:ascii="微软雅黑" w:hAnsi="微软雅黑" w:eastAsia="微软雅黑" w:cs="微软雅黑"/>
          <w:sz w:val="24"/>
          <w:lang w:val="en-US" w:eastAsia="zh-CN"/>
        </w:rPr>
        <w:t>作品</w:t>
      </w:r>
      <w:r>
        <w:rPr>
          <w:rFonts w:hint="eastAsia" w:ascii="微软雅黑" w:hAnsi="微软雅黑" w:eastAsia="微软雅黑" w:cs="微软雅黑"/>
          <w:sz w:val="24"/>
        </w:rPr>
        <w:t>内容侵权而产生的全部责任。</w:t>
      </w:r>
    </w:p>
    <w:p w14:paraId="182BA228">
      <w:pPr>
        <w:snapToGrid w:val="0"/>
        <w:spacing w:line="400" w:lineRule="exact"/>
        <w:ind w:firstLine="480" w:firstLineChars="200"/>
        <w:rPr>
          <w:rFonts w:hint="eastAsia" w:ascii="微软雅黑" w:hAnsi="微软雅黑" w:eastAsia="微软雅黑" w:cs="微软雅黑"/>
          <w:sz w:val="24"/>
          <w:szCs w:val="21"/>
        </w:rPr>
      </w:pPr>
      <w:r>
        <w:rPr>
          <w:rFonts w:hint="eastAsia" w:ascii="微软雅黑" w:hAnsi="微软雅黑" w:eastAsia="微软雅黑" w:cs="微软雅黑"/>
          <w:sz w:val="24"/>
          <w:szCs w:val="21"/>
        </w:rPr>
        <w:t>全体作者均应签字确认；如因特殊理由有作者未在下面签字，则视为已签字的第一作者被授权代表其签字确认并承担相应责任。此授权对于全体作者均具有约束力。签字之作者保证其本人具有签署此授权并做出承诺之全权。</w:t>
      </w:r>
    </w:p>
    <w:p w14:paraId="5D85AA70">
      <w:pPr>
        <w:snapToGrid w:val="0"/>
        <w:spacing w:line="300" w:lineRule="exact"/>
        <w:rPr>
          <w:rFonts w:hint="eastAsia" w:ascii="微软雅黑" w:hAnsi="微软雅黑" w:eastAsia="微软雅黑" w:cs="微软雅黑"/>
          <w:szCs w:val="21"/>
        </w:rPr>
      </w:pPr>
    </w:p>
    <w:p w14:paraId="3EB45151">
      <w:pPr>
        <w:snapToGrid w:val="0"/>
        <w:spacing w:line="480" w:lineRule="exact"/>
        <w:ind w:firstLine="470" w:firstLineChars="196"/>
        <w:rPr>
          <w:rFonts w:hint="eastAsia" w:ascii="微软雅黑" w:hAnsi="微软雅黑" w:eastAsia="微软雅黑" w:cs="微软雅黑"/>
          <w:sz w:val="24"/>
          <w:szCs w:val="21"/>
          <w:u w:val="single"/>
        </w:rPr>
      </w:pPr>
      <w:r>
        <w:rPr>
          <w:rFonts w:hint="eastAsia" w:ascii="微软雅黑" w:hAnsi="微软雅黑" w:eastAsia="微软雅黑" w:cs="微软雅黑"/>
          <w:sz w:val="24"/>
          <w:szCs w:val="21"/>
        </w:rPr>
        <w:t>第一作者签字：</w:t>
      </w:r>
      <w:r>
        <w:rPr>
          <w:rFonts w:hint="eastAsia" w:ascii="微软雅黑" w:hAnsi="微软雅黑" w:eastAsia="微软雅黑" w:cs="微软雅黑"/>
          <w:sz w:val="24"/>
          <w:szCs w:val="21"/>
          <w:u w:val="single"/>
        </w:rPr>
        <w:t xml:space="preserve">                            </w:t>
      </w:r>
    </w:p>
    <w:p w14:paraId="755124F4">
      <w:pPr>
        <w:snapToGrid w:val="0"/>
        <w:spacing w:line="480" w:lineRule="exact"/>
        <w:ind w:firstLine="470" w:firstLineChars="196"/>
        <w:rPr>
          <w:rFonts w:hint="eastAsia" w:ascii="微软雅黑" w:hAnsi="微软雅黑" w:eastAsia="微软雅黑" w:cs="微软雅黑"/>
          <w:sz w:val="24"/>
          <w:szCs w:val="21"/>
          <w:u w:val="single"/>
        </w:rPr>
      </w:pPr>
      <w:r>
        <w:rPr>
          <w:rFonts w:hint="eastAsia" w:ascii="微软雅黑" w:hAnsi="微软雅黑" w:eastAsia="微软雅黑" w:cs="微软雅黑"/>
          <w:sz w:val="24"/>
          <w:szCs w:val="21"/>
        </w:rPr>
        <w:t>其他作者签字：</w:t>
      </w:r>
      <w:r>
        <w:rPr>
          <w:rFonts w:hint="eastAsia" w:ascii="微软雅黑" w:hAnsi="微软雅黑" w:eastAsia="微软雅黑" w:cs="微软雅黑"/>
          <w:sz w:val="24"/>
          <w:szCs w:val="21"/>
          <w:u w:val="single"/>
        </w:rPr>
        <w:t xml:space="preserve">                                                 </w:t>
      </w:r>
    </w:p>
    <w:p w14:paraId="22C71229">
      <w:pPr>
        <w:snapToGrid w:val="0"/>
        <w:spacing w:line="480" w:lineRule="exact"/>
        <w:rPr>
          <w:rFonts w:hint="eastAsia" w:ascii="微软雅黑" w:hAnsi="微软雅黑" w:eastAsia="微软雅黑" w:cs="微软雅黑"/>
          <w:sz w:val="24"/>
          <w:szCs w:val="21"/>
          <w:u w:val="single"/>
        </w:rPr>
      </w:pPr>
      <w:r>
        <w:rPr>
          <w:rFonts w:hint="eastAsia" w:ascii="微软雅黑" w:hAnsi="微软雅黑" w:eastAsia="微软雅黑" w:cs="微软雅黑"/>
          <w:sz w:val="24"/>
          <w:szCs w:val="21"/>
          <w:u w:val="single"/>
        </w:rPr>
        <w:t xml:space="preserve">                                                                   </w:t>
      </w:r>
    </w:p>
    <w:p w14:paraId="6E709EE5">
      <w:pPr>
        <w:spacing w:line="400" w:lineRule="exact"/>
        <w:jc w:val="right"/>
        <w:rPr>
          <w:rFonts w:hint="eastAsia" w:ascii="微软雅黑" w:hAnsi="微软雅黑" w:eastAsia="微软雅黑" w:cs="微软雅黑"/>
          <w:b/>
          <w:sz w:val="24"/>
        </w:rPr>
      </w:pPr>
    </w:p>
    <w:p w14:paraId="3B3AC381">
      <w:pPr>
        <w:snapToGrid w:val="0"/>
        <w:spacing w:line="400" w:lineRule="exact"/>
        <w:ind w:right="540"/>
        <w:jc w:val="right"/>
        <w:rPr>
          <w:rFonts w:hint="eastAsia" w:ascii="微软雅黑" w:hAnsi="微软雅黑" w:eastAsia="微软雅黑" w:cs="微软雅黑"/>
          <w:b/>
          <w:sz w:val="24"/>
          <w:szCs w:val="21"/>
        </w:rPr>
      </w:pPr>
      <w:r>
        <w:rPr>
          <w:rFonts w:hint="eastAsia" w:ascii="微软雅黑" w:hAnsi="微软雅黑" w:eastAsia="微软雅黑" w:cs="微软雅黑"/>
          <w:b/>
          <w:sz w:val="24"/>
        </w:rPr>
        <w:t>年    月    日</w:t>
      </w:r>
    </w:p>
    <w:p w14:paraId="04BAD013">
      <w:pPr>
        <w:ind w:firstLine="640" w:firstLineChars="200"/>
        <w:rPr>
          <w:rFonts w:hint="eastAsia" w:ascii="微软雅黑" w:hAnsi="微软雅黑" w:eastAsia="微软雅黑" w:cs="微软雅黑"/>
          <w:sz w:val="32"/>
          <w:szCs w:val="32"/>
        </w:rPr>
      </w:pPr>
    </w:p>
    <w:p w14:paraId="504E968D">
      <w:pPr>
        <w:ind w:firstLine="640" w:firstLineChars="200"/>
        <w:rPr>
          <w:rFonts w:hint="eastAsia" w:ascii="微软雅黑" w:hAnsi="微软雅黑" w:eastAsia="微软雅黑" w:cs="微软雅黑"/>
          <w:sz w:val="32"/>
          <w:szCs w:val="32"/>
        </w:rPr>
      </w:pPr>
    </w:p>
    <w:p w14:paraId="14AF840E">
      <w:pPr>
        <w:ind w:firstLine="640" w:firstLineChars="200"/>
        <w:rPr>
          <w:rFonts w:ascii="仿宋_GB2312" w:eastAsia="仿宋_GB2312"/>
          <w:sz w:val="32"/>
          <w:szCs w:val="32"/>
        </w:rPr>
      </w:pPr>
    </w:p>
    <w:p w14:paraId="59057788">
      <w:pPr>
        <w:ind w:firstLine="640" w:firstLineChars="200"/>
        <w:rPr>
          <w:rFonts w:ascii="仿宋_GB2312" w:eastAsia="仿宋_GB2312"/>
          <w:sz w:val="32"/>
          <w:szCs w:val="32"/>
        </w:rPr>
      </w:pPr>
    </w:p>
    <w:p w14:paraId="7AC64B25">
      <w:pPr>
        <w:ind w:firstLine="640" w:firstLineChars="200"/>
        <w:rPr>
          <w:rFonts w:ascii="仿宋_GB2312" w:eastAsia="仿宋_GB2312"/>
          <w:sz w:val="32"/>
          <w:szCs w:val="32"/>
        </w:rPr>
      </w:pPr>
    </w:p>
    <w:p w14:paraId="4796889A">
      <w:pPr>
        <w:ind w:firstLine="640" w:firstLineChars="200"/>
        <w:rPr>
          <w:rFonts w:ascii="仿宋_GB2312" w:eastAsia="仿宋_GB2312"/>
          <w:sz w:val="32"/>
          <w:szCs w:val="32"/>
        </w:rPr>
      </w:pPr>
    </w:p>
    <w:p w14:paraId="41A968C8">
      <w:pPr>
        <w:ind w:firstLine="640" w:firstLineChars="200"/>
        <w:rPr>
          <w:rFonts w:ascii="仿宋_GB2312" w:eastAsia="仿宋_GB2312"/>
          <w:sz w:val="32"/>
          <w:szCs w:val="32"/>
        </w:rPr>
      </w:pPr>
    </w:p>
    <w:p w14:paraId="5B123E8D">
      <w:pPr>
        <w:ind w:firstLine="640" w:firstLineChars="200"/>
        <w:rPr>
          <w:rFonts w:ascii="仿宋_GB2312" w:eastAsia="仿宋_GB2312"/>
          <w:sz w:val="32"/>
          <w:szCs w:val="32"/>
        </w:rPr>
      </w:pPr>
    </w:p>
    <w:p w14:paraId="58206AD2">
      <w:pPr>
        <w:ind w:firstLine="640" w:firstLineChars="200"/>
        <w:rPr>
          <w:rFonts w:ascii="仿宋_GB2312" w:eastAsia="仿宋_GB2312"/>
          <w:sz w:val="32"/>
          <w:szCs w:val="32"/>
        </w:rPr>
      </w:pPr>
    </w:p>
    <w:p w14:paraId="31C456B9">
      <w:pPr>
        <w:ind w:firstLine="640" w:firstLineChars="200"/>
        <w:rPr>
          <w:rFonts w:ascii="仿宋_GB2312" w:eastAsia="仿宋_GB2312"/>
          <w:sz w:val="32"/>
          <w:szCs w:val="32"/>
        </w:rPr>
      </w:pPr>
    </w:p>
    <w:p w14:paraId="08090D12">
      <w:pPr>
        <w:ind w:firstLine="640" w:firstLineChars="200"/>
        <w:rPr>
          <w:rFonts w:ascii="仿宋_GB2312" w:eastAsia="仿宋_GB2312"/>
          <w:sz w:val="32"/>
          <w:szCs w:val="32"/>
        </w:rPr>
      </w:pPr>
    </w:p>
    <w:p w14:paraId="3829E761">
      <w:pPr>
        <w:rPr>
          <w:rFonts w:ascii="仿宋_GB2312" w:eastAsia="仿宋_GB2312"/>
          <w:sz w:val="32"/>
          <w:szCs w:val="32"/>
        </w:rPr>
      </w:pPr>
    </w:p>
    <w:p w14:paraId="7CA519A7">
      <w:pPr>
        <w:ind w:firstLine="640" w:firstLineChars="200"/>
        <w:rPr>
          <w:rFonts w:ascii="仿宋_GB2312" w:eastAsia="仿宋_GB2312"/>
          <w:sz w:val="32"/>
          <w:szCs w:val="32"/>
        </w:rPr>
      </w:pPr>
    </w:p>
    <w:p w14:paraId="53BB5CBA">
      <w:pPr>
        <w:ind w:firstLine="640" w:firstLineChars="200"/>
        <w:rPr>
          <w:rFonts w:ascii="仿宋_GB2312" w:eastAsia="仿宋_GB2312"/>
          <w:sz w:val="32"/>
          <w:szCs w:val="32"/>
        </w:rPr>
      </w:pPr>
    </w:p>
    <w:p w14:paraId="1EDA1885">
      <w:pPr>
        <w:ind w:firstLine="640" w:firstLineChars="200"/>
        <w:rPr>
          <w:rFonts w:ascii="仿宋_GB2312" w:eastAsia="仿宋_GB2312"/>
          <w:sz w:val="32"/>
          <w:szCs w:val="32"/>
        </w:rPr>
      </w:pPr>
    </w:p>
    <w:p w14:paraId="5959C809">
      <w:pPr>
        <w:ind w:firstLine="640" w:firstLineChars="200"/>
        <w:rPr>
          <w:rFonts w:ascii="仿宋_GB2312" w:eastAsia="仿宋_GB2312"/>
          <w:sz w:val="32"/>
          <w:szCs w:val="32"/>
        </w:rPr>
      </w:pPr>
    </w:p>
    <w:p w14:paraId="4665E655">
      <w:pPr>
        <w:ind w:firstLine="640" w:firstLineChars="200"/>
        <w:rPr>
          <w:rFonts w:ascii="仿宋_GB2312" w:eastAsia="仿宋_GB2312"/>
          <w:sz w:val="32"/>
          <w:szCs w:val="32"/>
        </w:rPr>
      </w:pPr>
    </w:p>
    <w:p w14:paraId="40FBB90D">
      <w:pPr>
        <w:ind w:firstLine="640" w:firstLineChars="200"/>
        <w:rPr>
          <w:rFonts w:ascii="仿宋_GB2312" w:eastAsia="仿宋_GB2312"/>
          <w:sz w:val="32"/>
          <w:szCs w:val="32"/>
        </w:rPr>
      </w:pPr>
    </w:p>
    <w:p w14:paraId="68B17332">
      <w:pPr>
        <w:ind w:firstLine="640" w:firstLineChars="200"/>
        <w:rPr>
          <w:rFonts w:ascii="仿宋_GB2312" w:eastAsia="仿宋_GB2312"/>
          <w:sz w:val="32"/>
          <w:szCs w:val="32"/>
        </w:rPr>
      </w:pPr>
    </w:p>
    <w:p w14:paraId="672358B6">
      <w:pPr>
        <w:ind w:firstLine="640" w:firstLineChars="200"/>
        <w:rPr>
          <w:rFonts w:ascii="仿宋_GB2312" w:eastAsia="仿宋_GB2312"/>
          <w:sz w:val="32"/>
          <w:szCs w:val="32"/>
        </w:rPr>
      </w:pPr>
    </w:p>
    <w:p w14:paraId="5955270A">
      <w:pPr>
        <w:ind w:firstLine="640" w:firstLineChars="200"/>
        <w:rPr>
          <w:rFonts w:ascii="仿宋_GB2312" w:eastAsia="仿宋_GB2312"/>
          <w:sz w:val="32"/>
          <w:szCs w:val="32"/>
        </w:rPr>
      </w:pPr>
    </w:p>
    <w:tbl>
      <w:tblPr>
        <w:tblStyle w:val="6"/>
        <w:tblW w:w="8362"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2"/>
      </w:tblGrid>
      <w:tr w14:paraId="6AEC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8362" w:type="dxa"/>
            <w:tcBorders>
              <w:left w:val="nil"/>
              <w:right w:val="nil"/>
            </w:tcBorders>
          </w:tcPr>
          <w:p w14:paraId="7BC47612">
            <w:pPr>
              <w:keepNext w:val="0"/>
              <w:keepLines w:val="0"/>
              <w:pageBreakBefore w:val="0"/>
              <w:widowControl w:val="0"/>
              <w:kinsoku/>
              <w:wordWrap/>
              <w:overflowPunct/>
              <w:topLinePunct w:val="0"/>
              <w:autoSpaceDE/>
              <w:autoSpaceDN/>
              <w:bidi w:val="0"/>
              <w:adjustRightInd/>
              <w:spacing w:line="600" w:lineRule="exact"/>
              <w:ind w:firstLine="280" w:firstLineChars="100"/>
              <w:textAlignment w:val="auto"/>
              <w:rPr>
                <w:rFonts w:ascii="仿宋_GB2312" w:eastAsia="仿宋_GB2312"/>
                <w:sz w:val="28"/>
                <w:szCs w:val="28"/>
              </w:rPr>
            </w:pPr>
            <w:r>
              <w:rPr>
                <w:rFonts w:hint="eastAsia" w:ascii="仿宋_GB2312" w:eastAsia="仿宋_GB2312"/>
                <w:sz w:val="28"/>
                <w:szCs w:val="28"/>
              </w:rPr>
              <w:t>河南省药学会                       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w:t>
            </w:r>
            <w:r>
              <w:rPr>
                <w:rFonts w:hint="eastAsia" w:ascii="仿宋_GB2312" w:eastAsia="仿宋_GB2312"/>
                <w:sz w:val="28"/>
                <w:szCs w:val="28"/>
                <w:lang w:val="en-US" w:eastAsia="zh-CN"/>
              </w:rPr>
              <w:t xml:space="preserve"> </w:t>
            </w:r>
            <w:r>
              <w:rPr>
                <w:rFonts w:hint="eastAsia" w:ascii="仿宋_GB2312" w:eastAsia="仿宋_GB2312"/>
                <w:sz w:val="28"/>
                <w:szCs w:val="28"/>
              </w:rPr>
              <w:t>印发                               　</w:t>
            </w:r>
          </w:p>
        </w:tc>
      </w:tr>
    </w:tbl>
    <w:p w14:paraId="40F5BF5D">
      <w:pPr>
        <w:ind w:firstLine="640" w:firstLineChars="200"/>
        <w:rPr>
          <w:rFonts w:ascii="仿宋_GB2312" w:eastAsia="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公文黑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Y3N2U0YTU0ODYxOTdjNDE1YTM3MmVlMzY5NzNiOGUifQ=="/>
  </w:docVars>
  <w:rsids>
    <w:rsidRoot w:val="008465D2"/>
    <w:rsid w:val="000E055F"/>
    <w:rsid w:val="000F66D8"/>
    <w:rsid w:val="00337D83"/>
    <w:rsid w:val="004C131F"/>
    <w:rsid w:val="004D4BA8"/>
    <w:rsid w:val="005A0FB6"/>
    <w:rsid w:val="006F2F4D"/>
    <w:rsid w:val="007D39DA"/>
    <w:rsid w:val="008465D2"/>
    <w:rsid w:val="00917CB3"/>
    <w:rsid w:val="00A01246"/>
    <w:rsid w:val="00E344B4"/>
    <w:rsid w:val="00FA2DCD"/>
    <w:rsid w:val="098A1867"/>
    <w:rsid w:val="0F033B15"/>
    <w:rsid w:val="11B0777D"/>
    <w:rsid w:val="127F3260"/>
    <w:rsid w:val="16116546"/>
    <w:rsid w:val="1CF24D8D"/>
    <w:rsid w:val="272F49E6"/>
    <w:rsid w:val="287F6CC2"/>
    <w:rsid w:val="291029B9"/>
    <w:rsid w:val="2C4F3C5A"/>
    <w:rsid w:val="336B0499"/>
    <w:rsid w:val="370E56C6"/>
    <w:rsid w:val="37CC3BC8"/>
    <w:rsid w:val="3A78675B"/>
    <w:rsid w:val="3D8E665F"/>
    <w:rsid w:val="3E9A01F4"/>
    <w:rsid w:val="441D44B4"/>
    <w:rsid w:val="483267A8"/>
    <w:rsid w:val="488D3AF0"/>
    <w:rsid w:val="53E10D9A"/>
    <w:rsid w:val="59815DE1"/>
    <w:rsid w:val="5F3833E6"/>
    <w:rsid w:val="637909A8"/>
    <w:rsid w:val="653C3860"/>
    <w:rsid w:val="687D54C0"/>
    <w:rsid w:val="6D6B2217"/>
    <w:rsid w:val="6DF07723"/>
    <w:rsid w:val="70371824"/>
    <w:rsid w:val="729E03FD"/>
    <w:rsid w:val="748812FB"/>
    <w:rsid w:val="77FE36A2"/>
    <w:rsid w:val="794B3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 w:type="character" w:customStyle="1" w:styleId="14">
    <w:name w:val="topp1"/>
    <w:basedOn w:val="8"/>
    <w:qFormat/>
    <w:uiPriority w:val="0"/>
    <w:rPr>
      <w:sz w:val="38"/>
      <w:szCs w:val="3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3007</Words>
  <Characters>3214</Characters>
  <Lines>1</Lines>
  <Paragraphs>1</Paragraphs>
  <TotalTime>13</TotalTime>
  <ScaleCrop>false</ScaleCrop>
  <LinksUpToDate>false</LinksUpToDate>
  <CharactersWithSpaces>3715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2018-03-20T02:35:00Z</dcterms:created>
  <dc:creator>hp</dc:creator>
  <cp:lastModifiedBy>珍惜</cp:lastModifiedBy>
  <cp:lastPrinted>2019-03-13T02:39:00Z</cp:lastPrinted>
  <dcterms:modified xsi:type="dcterms:W3CDTF">2025-08-21T03:08:37Z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8FEB63175C0A476FA40B37D36774219A</vt:lpwstr>
  </property>
  <property fmtid="{D5CDD505-2E9C-101B-9397-08002B2CF9AE}" pid="4" name="KSOTemplateDocerSaveRecord">
    <vt:lpwstr>eyJoZGlkIjoiOGQ3Zjg4YzkxYjAxNTA3Mzk5ZTVjZTQwNGU4YmVkMDUiLCJ1c2VySWQiOiIyODE0NDQ2MjEifQ==</vt:lpwstr>
  </property>
</Properties>
</file>